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F-330/2024 vom 20. November 2023</w:t>
      </w:r>
    </w:p>
    <w:p>
      <w:r>
        <w:t>Bundesverwaltungsgericht, 2023-11-20, IT</w:t>
      </w:r>
    </w:p>
    <w:p>
      <w:r>
        <w:rPr>
          <w:b/>
        </w:rPr>
        <w:t xml:space="preserve">Quelle: </w:t>
      </w:r>
      <w:r>
        <w:t>https://mcp.opencaselaw.ch/entscheid/bvger_F-330_2024_d20231120</w:t>
      </w:r>
    </w:p>
    <w:p>
      <w:r>
        <w:t>FR: TAF F-330/2024 du 20 novembre 2023</w:t>
      </w:r>
    </w:p>
    <w:p>
      <w:r>
        <w:t>IT: TAF F-330/2024 del 20 novembre 2023</w:t>
      </w:r>
    </w:p>
    <w:p>
      <w:pPr>
        <w:pStyle w:val="Heading2"/>
      </w:pPr>
      <w:r>
        <w:t>Regeste</w:t>
      </w:r>
    </w:p>
    <w:p>
      <w:r>
        <w:t>Visto Schengen | Visto Schengen; decisione della SEM del 20 novembre 2023</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w:t>
      </w:r>
    </w:p>
    <w:p>
      <w:r>
        <w:t>F-330/2024 Pagina 3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cpv.12 PA, dimodoché questo Tribunale è competente a giudicare il pre- sente ricorso. Dato che la procedura verte su una decisione in materia di diritto degli stranieri concernente l’entrata in Svizzera di una persona che non è cittadina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su opposizione della SEM, l’ha impugnata tempestivamente, nel rispetto dei requisiti previsti dalla legge, versando peraltro nel termine impartitole l'anticipo di fr. 700.– relativo alle presunte spese processuali. Sebbene il periodo di visita rela- tivo alla richiesta di visto sia già trascorso, nel ricorso è implicito che la visita prevista avrebbe avuto luogo anche in un momento successivo. Si deve pertanto affermare un interesse attuale.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w:t>
      </w:r>
    </w:p>
    <w:p>
      <w:r>
        <w:t>F-330/2024 Pagina 4 situazione fattuale al momento del giudizio (cfr. DTAF 2020 VII/4 con- sid. 2.2).</w:t>
      </w:r>
    </w:p>
    <w:p>
      <w:r>
        <w:rPr>
          <w:b/>
        </w:rPr>
        <w:t>E. 3</w:t>
      </w:r>
    </w:p>
    <w:p>
      <w:r>
        <w:t>La presente causa verte sul rifiuto della SEM di rilasciare al ricorrente un visto Schengen di breve durata da lui richiesto. Si tratta dunque di verificare se le condizioni per l’emissione di tale visto, secondo la normativa Schengen, siano soddisfatte.</w:t>
      </w:r>
    </w:p>
    <w:p>
      <w:r>
        <w:rPr>
          <w:b/>
        </w:rPr>
        <w:t>E. 4.1</w:t>
      </w:r>
    </w:p>
    <w:p>
      <w:r>
        <w:t>È utile ricordare, in primo luogo, che “la politica in materia di visti” rive- ste un ruolo importante nel contesto della prevenzione dell’immigrazione illegale. Essa può tuttavia esplicare tutta la sua efficacia unicamente nel contesto di un coordinamento internazionale. Come tutti gli altri Stati, la Svizzera non è di principio tenuta a consentire l’entrata sul suo territorio a persone straniere. Fatti salvi gli impegni di diritto internazionale pubblico, le pertinenti decisioni sono prese autonomamente (Messaggio del Consi- 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w:t>
      </w:r>
    </w:p>
    <w:p>
      <w:r>
        <w:t>F-330/2024 Pagina 5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t>F-330/2024 Pagina 6</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9 OEV.</w:t>
      </w:r>
    </w:p>
    <w:p>
      <w:r>
        <w:rPr>
          <w:b/>
        </w:rPr>
        <w:t>E. 5</w:t>
      </w:r>
    </w:p>
    <w:p>
      <w:r>
        <w:t>In concreto, essendo di nazionalità nigeriana, il ricorrente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t>F-330/2024 Pagina 7</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della Nigeria va evidenziato quanto segue.</w:t>
      </w:r>
    </w:p>
    <w:p>
      <w:r>
        <w:rPr>
          <w:b/>
        </w:rPr>
        <w:t>E. 7.2</w:t>
      </w:r>
    </w:p>
    <w:p>
      <w:r>
        <w:t>Nonostante la Nigeria sia considerata un’economia forte grazie alle sue ricche riserve di petrolio, la maggior parte della popolazione vive in condizioni di estrema povertà. La situazione di sicurezza è molto tesa in tutto il Paese e si è costantemente deteriorata. Il rischio di sequestri a scopo politico o criminale è elevato. Ad essere a rischio sono sia le persone indigene che quelle straniere di ogni fascia d’età ed estrazione sociale. Si verificano attentati dinamitardi e scontri armati tra le forze di sicurezza e</w:t>
      </w:r>
    </w:p>
    <w:p>
      <w:r>
        <w:t>F-330/2024 Pagina 8 gruppi terroristici. In più, l'assistenza medica non è sempre garantita (cfr. https://www.eda.admin.ch/eda/it/dfae/rappresentanze-e-consigli-di- viaggio/nigeria/consigli-viaggio-nigeria.html, visionato il 6 gennaio 2024; cfr. sentenza TAF F-461/2024 del 20 novembre 2024 consid. 4.3 con ulte- riori riferimenti).</w:t>
      </w:r>
    </w:p>
    <w:p>
      <w:r>
        <w:rPr>
          <w:b/>
        </w:rPr>
        <w:t>E. 7.3</w:t>
      </w:r>
    </w:p>
    <w:p>
      <w:r>
        <w:t>Alla luce di questo quadro socioeconomico generale, da rapportare alla situazione vigente negli Stati della zona Schengen, e segnatamente in Svizzera, va da sé che il rischio teorico che il ricorrente, secondo il profilo statistico medio dell’abitante nigeriano, potrebbe essere tentato di non la- sciare la zona in questione entro il termine di scadenza del visto richiesto, non può essere a priori escluso.</w:t>
      </w:r>
    </w:p>
    <w:p>
      <w:r>
        <w:rPr>
          <w:b/>
        </w:rPr>
        <w:t>E. 8.1</w:t>
      </w:r>
    </w:p>
    <w:p>
      <w:r>
        <w:t>Dal punto di vista della situazione personale, familiare e professionale del ricorrente, si deve osservare quanto segue.</w:t>
      </w:r>
    </w:p>
    <w:p>
      <w:r>
        <w:rPr>
          <w:b/>
        </w:rPr>
        <w:t>E. 8.2</w:t>
      </w:r>
    </w:p>
    <w:p>
      <w:r>
        <w:t>Il ricorrente afferma di voler visitare la sua compagna, nata nel 1968, con cui sarebbe insieme da due anni.</w:t>
      </w:r>
    </w:p>
    <w:p>
      <w:r>
        <w:rPr>
          <w:b/>
        </w:rPr>
        <w:t>E. 8.3</w:t>
      </w:r>
    </w:p>
    <w:p>
      <w:r>
        <w:t>Il ricorrente, cittadino nigeriano, è nato nel 1993. Non è sposato e non ha figli. Eventuali membri della famiglia del ricorrente in Nigeria non ven- gono menzionati e non emergono nemmeno dagli atti presenti. Non risul- tano, quindi, obblighi familiari nel Paese di residenza.</w:t>
      </w:r>
    </w:p>
    <w:p>
      <w:r>
        <w:rPr>
          <w:b/>
        </w:rPr>
        <w:t>E. 8.4</w:t>
      </w:r>
    </w:p>
    <w:p>
      <w:r>
        <w:t>In merito alla sua situazione professionale, egli dichiara di lavorare come “Administrative Manager” presso la (…) con un reddito mensile di 151’050 NGN (circa 85 fr.-). A riprova di ciò, egli presenta una lettera di apprezzamento/vacanza del 4 dicembre 2023 e dei certificati di salario che vanno da metà giugno 2023 a novembre 2023. Tuttavia, l'estratto del suo conto bancario non riporta i rispettivi pagamenti. Esistono quindi dubbi sulla credibilità dell'attività professionale del ricorrente. Per completezza, va ag- giunto che, l'attività dichiarata, iniziata solo nel giugno 2023, in ogni modo non sarebbe sufficiente per dimostrare un legame professionale particolar- mente forte del ricorrente con il suo luogo di residenza attuale. Per quanto riguarda la sua situazione finanziaria, va notato che al momento della presentazione dell’estratto del suo conto bancario, nel agosto 2023, aveva un patrimonio di 181'020.40 NGN (circa 100 fr.-). Di conseguenza, neanche la sua situazione finanziaria permette di formulare una previsione favorevole riguardo alla sua partenza regolare dallo spazio Schengen.</w:t>
      </w:r>
    </w:p>
    <w:p>
      <w:r>
        <w:t>F-330/2024 Pagina 9</w:t>
      </w:r>
    </w:p>
    <w:p>
      <w:r>
        <w:rPr>
          <w:b/>
        </w:rPr>
        <w:t>E. 8.5</w:t>
      </w:r>
    </w:p>
    <w:p>
      <w:r>
        <w:t>Alla luce delle considerazioni sopraesposte, che raccolgono l’insieme degli elementi risultanti dagli atti, si deve riconoscere che non è possibile stabilire con sufficiente certezza l’intenzione del ricorrente di lasciare la Svizzera, e lo spazio Schengen, prima della scadenza del visto richiesto (cfr. art. 21 cpv. 1 del codice dei visti).</w:t>
      </w:r>
    </w:p>
    <w:p>
      <w:r>
        <w:rPr>
          <w:b/>
        </w:rPr>
        <w:t>E. 9</w:t>
      </w:r>
    </w:p>
    <w:p>
      <w:r>
        <w:t>In conclusione, respingendo l’opposizione del ricorrente contro la decisione di rifiuto dell’Ambasciata di Svizzera a Abuja di rilasciare al ricorrente un visto Schengen di breve durata (90 giorni), la SEM non ha violato la nor- mativa Schengen e il diritto federale (cfr. art. 49 lett. a PA). Pertanto, il ri- corso deve essere respinto e la decisione su opposizione confermata.</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 ricorrente e prelevate sull’anticipo, dello stesso importo, da lui già versato. Alla ricorrente non sono assegnate spese ripetibili (art. 64 cpv. 1 PA e art. 7 cpv. 1 e 2 TS-TAF). (dispositivo pagina seguente)</w:t>
      </w:r>
    </w:p>
    <w:p>
      <w:r>
        <w:t>F-330/2024 Pagina 10 Per questi motivi, il Tribunale amministrativo federale pronun- cia: 1. Il ricorso è respinto. 2. Le spese processuali di fr. 700.– sono poste a carico del ricorrente e pre- levate sull’anticipo, dello stesso importo, da lei già versato.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