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F-3304/2022 vom 15. August 2022</w:t>
      </w:r>
    </w:p>
    <w:p>
      <w:r>
        <w:t>Bundesverwaltungsgericht, 2022-08-15, DE</w:t>
      </w:r>
    </w:p>
    <w:p>
      <w:r>
        <w:rPr>
          <w:b/>
        </w:rPr>
        <w:t xml:space="preserve">Quelle: </w:t>
      </w:r>
      <w:r>
        <w:t>https://mcp.opencaselaw.ch/entscheid/bvger_F-3304_2022</w:t>
      </w:r>
    </w:p>
    <w:p>
      <w:r>
        <w:t>FR: TAF F-3304/2022 du 15 août 2022</w:t>
      </w:r>
    </w:p>
    <w:p>
      <w:r>
        <w:t>IT: TAF F-3304/2022 del 15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 lich Missbrauch und Überschreiten des Ermessens) sowie die unrichtige und unvollständige Feststellung des rechtserheblichen Sachverhalts ge- 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Der Beschwerdeführer bestreitet nicht, am 13. Mai 2022 in Italien ille- gal in den Dublin-Raum eingereist und dort nach seinem Aufgriff daktylo- skopiert worden zu sein (vgl. SEM-act. 7). Sein Asylgesuch in der Schweiz stellte er am 20. Mai 2022 und damit weniger als zwölf Monate nach dem illegalen Grenzübertritt in Italien. Das Aufnahmeersuchen der Schweizer Behörden vom 25. Mai 2022 liessen die italienischen Behörden innert der Frist von Art. 22 Abs. 1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unbeantwortet (vgl. SEM-act. 10 und 21). Da- mit anerkannten sie die Zuständigkeit Italiens gestützt auf Art. 13 Abs. 1 Dublin-III-VO implizit (Art. 22 Abs. 7 Dublin-III-VO).</w:t>
      </w:r>
    </w:p>
    <w:p>
      <w:r>
        <w:rPr>
          <w:b/>
        </w:rPr>
        <w:t>E. 3.2</w:t>
      </w:r>
    </w:p>
    <w:p>
      <w:r>
        <w:t>Die grundsätzliche Aufnahmezuständigkeit Italiens ist somit gegeben. Die Dublin-III-VO räumt kein Recht ein, den seinen Antrag prüfenden Staat</w:t>
      </w:r>
    </w:p>
    <w:p>
      <w:r>
        <w:t>F-3304/2022 Seite 4 selber auszuwählen (vgl. auch BVGE 2010/45 E. 8.3). Soweit der Be- schwerdeführer also geltend macht, sich für die Schweiz entschieden zu haben, weil er hier gut behandelt werde, ist er damit nicht zu hören. Im Weiteren ist er darauf hinzuweisen, dass die Mitgliedstaaten verpflichtet sind, bei Drittstaatsangehörigen, die aus einem Drittstaat kommend beim illegalen Überschreiten der Grenze von den zuständigen Kontrollbehörden aufgegriffen werden, unverzüglich den Abdruck aller Finger abzunehmen (vgl. Art. 14 Abs. 1 der Verordnung [EU] Nr. 603/2013 des Europäischen Parlaments und des Rates vom 26. Juni 2013 [Eurodac-Verordnung]). Deshalb liegt es nicht an ihm zu bestimmen, ob und wann seine Fingerab- drücke abgenommen und an die "Eurodac"-Datenbank übermittelt werden.</w:t>
      </w:r>
    </w:p>
    <w:p>
      <w:r>
        <w:rPr>
          <w:b/>
        </w:rPr>
        <w:t>E. 4</w:t>
      </w:r>
    </w:p>
    <w:p>
      <w:r>
        <w:t>Nicht näher einzugehen ist sodann auf das pauschale und unbelegte Vor- bringen des Beschwerdeführers, die italienischen Behörden hätten ihm vor zwei Monaten mitgeteilt, dass er Italien innert sieben Tagen verlassen müsse. Ein Asylgesuch hat er in Italien noch nicht gestellt. Es steht ihm frei, dort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vorliegend nicht ersichtlich. Seinen Bedenken, italienische Staatsangehörige bezie- hungsweise die italienischen Behörden behandelten Asylsuchende schlecht, ist entgegenzuhalten, dass er bei einer allfälligen vorübergehen- den Einschränkung der ihm zustehenden Aufnahmebedingungen seine Rechte auf dem Rechtsweg einfordern könnte (vgl. Art. 26 Aufnahmericht- linie).</w:t>
      </w:r>
    </w:p>
    <w:p>
      <w:r>
        <w:rPr>
          <w:b/>
        </w:rPr>
        <w:t>E. 5</w:t>
      </w:r>
    </w:p>
    <w:p>
      <w:r>
        <w:t>Der angefochtene Entscheid verletzt keine die Schweiz bindende völker- rechtliche Bestimmung. Das ihr im Übrigen bei der Anwendung von Art. 29a Abs. 3 der Asylverordnung 1 vom 11. August 1999 (AsylV 1, SR 142.311) in Verbindung mit Art. 17 Dublin-III-VO zustehende Ermessen hat die Vo- rinstanz gesetzeskonform ausgeübt (vgl. BVGE 2015/9 E. 8). Es ist nicht zu beanstanden, dass sie das Vorliegen humanitärer Gründe verneint und vom Selbsteintrittsrecht keinen Gebrauch gemacht hat. Zu Recht ist sie auf das Asylgesuch nicht eingetreten und hat die Überstellung des Beschwer- deführers nach Italien verfügt. Die Beschwerde ist abzuweisen.</w:t>
      </w:r>
    </w:p>
    <w:p>
      <w:r>
        <w:t>F-3304/2022 Seite 5</w:t>
      </w:r>
    </w:p>
    <w:p>
      <w:r>
        <w:rPr>
          <w:b/>
        </w:rPr>
        <w:t>E. 6</w:t>
      </w:r>
    </w:p>
    <w:p>
      <w:r>
        <w:t>Das Gesuch um Gewährung der unentgeltlichen Rechtspflege ist abzuwei- sen, da die Begehren – wie sich aus den vorstehenden Erwägungen ergibt – als aussichtslos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F-3304/2022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