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F-3303/2023 vom 16. Juni 2023</w:t>
      </w:r>
    </w:p>
    <w:p>
      <w:r>
        <w:t>Bundesverwaltungsgericht, 2023-06-16, FR</w:t>
      </w:r>
    </w:p>
    <w:p>
      <w:r>
        <w:rPr>
          <w:b/>
        </w:rPr>
        <w:t xml:space="preserve">Quelle: </w:t>
      </w:r>
      <w:r>
        <w:t>https://mcp.opencaselaw.ch/entscheid/bvger_F-3303_2023</w:t>
      </w:r>
    </w:p>
    <w:p>
      <w:r>
        <w:t>FR: TAF F-3303/2023 du 16 juin 2023</w:t>
      </w:r>
    </w:p>
    <w:p>
      <w:r>
        <w:t>IT: TAF F-3303/2023 del 16 giugno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3.1</w:t>
      </w:r>
    </w:p>
    <w:p>
      <w:r>
        <w:t>Le Tribunal, saisi d'un recours contre une décision de non-entrée en matière sur une demande d'asile, se limite à examiner le bien-fondé d'une telle décision (ATAF 2014/39 consid. 2).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3.3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comme en l'espèce, il n'y a, en principe, aucun nouvel examen de la compétence selon le chapitre III du RD III (cf. ATAF 2017 VI/5 consid. 6.2 et 8.2.1 et réf. cit.).</w:t>
      </w:r>
    </w:p>
    <w:p>
      <w:r>
        <w:rPr>
          <w:b/>
        </w:rPr>
        <w:t>E. 3.4</w:t>
      </w:r>
    </w:p>
    <w:p>
      <w:r>
        <w:t>En vertu de l'art. 20 par. 5 RD III, l'Etat membre auprès duquel la demande de protection internationale a été introduite pour la première fois est tenu, dans les conditions prévues aux articles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3.5</w:t>
      </w:r>
    </w:p>
    <w:p>
      <w:r>
        <w:t>Cette disposition implique ainsi le retrait de la demande de protection internationale tel que défini à l'art. 2 let. e RD III. Conformément à la directive no 2013/32/UE du Parlement européen et du Conseil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 ; arrêt du TAF F-4079/2022 du 23 septembre 2022 consid. 4.3.2).</w:t>
      </w:r>
    </w:p>
    <w:p>
      <w:r>
        <w:rPr>
          <w:b/>
        </w:rPr>
        <w:t>E. 3.6</w:t>
      </w:r>
    </w:p>
    <w:p>
      <w:r>
        <w:t>En l'espèce, le SEM a établi, après consultation de l'unité centrale du système européen « Eurodac », le 14 avril 2023, que l'intéressé avait déposé une demande d'asile en Croatie, le 2 avril 2023. Le même jour, le SEM a soumis aux autorités croates compétentes, dans le délai fixé à l'art. 23 par. 2 RD III, une requête aux fins de la reprise en charge du requérant, fondée sur l'art. 18 par. 1 let. b de ce même règlement. Le 5 mai 2023, soit dans le délai fixé par l'art. 25 par. 1 RD III, lesdites autorités ont expressément accepté de le reprendre en charge, précisant qu'elles allaient poursuivre le processus de détermination de leur responsabilité, sur la base de l'art. 20 par. 5 RD III. Dans ces conditions et dans la mesure où le recourant n'a pas établi qu'il aurait quitté le territoire des Etats membres pendant une période d'au moins trois mois ou obtenu un titre de séjour de la part d'un Etat membre dans l'intervalle, il se justifie de faire application de l'art. 20 par. 5 RD III, conformément à la jurisprudence précitée (cf. supra, consid. 3.5).</w:t>
      </w:r>
    </w:p>
    <w:p>
      <w:r>
        <w:rPr>
          <w:b/>
        </w:rPr>
        <w:t>E. 4</w:t>
      </w:r>
    </w:p>
    <w:p>
      <w:r>
        <w:t>Dans son recours, le recourant a fait valoir que le SEM, en le renvoyant en Croatie, violerait le règlement Dublin III. A ce titre, il a invoqué, en substance, qu'il avait peur d'être renvoyé en Croatie car tant son gouvernement que ses autorités persécutaient les migrants et étaient racistes envers les cultures différentes de la leur. Par ailleurs, il a allégué que les autorités croates ne lui avaient donné aucune chance de procéder au dépôt d'une demande d'asile, le privant de nourriture et d'eau pendant plusieurs heures et le menaçant de le renvoyer en Bosnie. En outre, les autorités de ce pays avaient refusé de lui rendre son sac contenant son passeport, sa carte d'identité et son diplôme. Enfin, il a produit en annexe de son recours un rapport de l'ONG Human Rights Watch du 3 mai 2023 faisant état des défaillances du système d'asile croate et de la violence des autorités à l'égard des requérants d'asile dans ce pays.</w:t>
      </w:r>
    </w:p>
    <w:p>
      <w:r>
        <w:rPr>
          <w:b/>
        </w:rPr>
        <w:t>E. 4.1</w:t>
      </w:r>
    </w:p>
    <w:p>
      <w:r>
        <w:t>Conformément à l'art. 3 par. 2 al. 2 RD III, il convient tout d'abord d'apprécier s'il y a de sérieuses raisons de considérer qu'il existe en Croatie des défaillances systémiques dans la procédure d'asile et les conditions d'accueil des demandeurs d'asile, qui entraînent un risque de traitement inhumain ou dégradant au sens de l'art. 4 de la Charte des droits fondamentaux de l'Union européenne (JO C 364/1 du 18.12.2000, Charte UE).</w:t>
      </w:r>
    </w:p>
    <w:p>
      <w:r>
        <w:rPr>
          <w:b/>
        </w:rPr>
        <w:t>E. 4.2</w:t>
      </w:r>
    </w:p>
    <w:p>
      <w:r>
        <w:t>Il convient de rappeler que ce pays est lié à ladite Charte et partie à la Convention du 28 juillet 1951 relative au statut des réfugiés (CR, RS 0.142.30), ainsi qu'au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(CCT, RS 0.105) et, à ce titre, en applique les dispositions.</w:t>
      </w:r>
    </w:p>
    <w:p>
      <w:r>
        <w:rPr>
          <w:b/>
        </w:rPr>
        <w:t>E. 4.3</w:t>
      </w:r>
    </w:p>
    <w:p>
      <w:r>
        <w:t>Partant,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 Cette présomption de sécurité n'est cependant pas irréfragable et doit être écartée d'office en présence, dans l'Etat de destination du transfert, d'une pratique avérée de violations systématiques des normes minimales de l'Union européenne (ci-après : UE), constitutives de défaillances systémiques dans la procédure d'asile et les conditions d'accueil des demandeurs d'asile au sens de l'art. 3 par. 2 al. 2 RD III. Dans un tel cas de figure, l'Etat requérant doit renoncer au transfert.</w:t>
      </w:r>
    </w:p>
    <w:p>
      <w:r>
        <w:rPr>
          <w:b/>
        </w:rPr>
        <w:t>E. 4.4</w:t>
      </w:r>
    </w:p>
    <w:p>
      <w:r>
        <w:t>Dans un récent arrêt de référence en lien avec la Croatie rendu à cinq juges et coordonné au sein des Cours IV, V et VI (cf. arrêt de référence du Tribunal E-1488/2020 du 22 mars 2023), le Tribunal a rappelé que, lors d'un transfert vers l'Etat responsable fondé sur le RD III, le point principal à examiner consiste à déterminer si le requérant d'asile y a effectivement accès à une procédure d'asile, respectivement s'il a pu avoir accès à une telle procédure. Dans ce contexte, la question de savoir s'il lui a auparavant été extrêmement difficile d'atteindre le territoire croate n'est plus déterminante (cf. arrêt E-1488/2020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arrêt de référence précité, consid. 9.4.4). En conséquence, l'arrêt en question conclut qu'il n'existe pas à l'heure actuelle d'indices suffisants permettant de considérer que les personnes renvoyées - dans le cadre d'un transfert Dublin - en Croatie risquent d'être expulsées de manière illégale de ce pays, sans qu'une procédure d'asile ne soit ouverte et menée à terme. Il a dès lors été jugé d'autant moins probable que cela puisse se produire de manière systématique (cf. arrêt E-1488/2020 précité, consid. 9.4.4).</w:t>
      </w:r>
    </w:p>
    <w:p>
      <w:r>
        <w:rPr>
          <w:b/>
        </w:rPr>
        <w:t>E. 4.5</w:t>
      </w:r>
    </w:p>
    <w:p>
      <w:r>
        <w:t>Au vu de ce qui précède, il faut partir du principe que les requérants transférés en Croatie sur la base du règlement Dublin III ont accès à la procédure d'asile dans ce pays, et ce, indépendamment qu'il s'agisse d'un cas de prise ou de reprise en charge (cf. arrêt E-1488/2020 précité, consid. 9.4.4 in fine et consid. 9.5). Par conséquent, il n'y a pas de probabilité notable que les personnes transférées soient exposées à un risque de violation de leurs droits découlant du principe de non-refoulement (cf. arrêt E-1488/2020 précité consid. 9.5). Le seul rapport de l'ONG Human Rights Watch du 3 mai 2023, annexé au présent recours par l'intéressé, ne suffit pas à remettre en question les conclusions prises dans l'arrêt de référence précité, étant précisé que ledit rapport traite principalement de la question des « push-backs » et non des requérants d'asile transférés en Croatie dans le cadre d'un transfert Dublin.</w:t>
      </w:r>
    </w:p>
    <w:p>
      <w:r>
        <w:rPr>
          <w:b/>
        </w:rPr>
        <w:t>E. 4.6</w:t>
      </w:r>
    </w:p>
    <w:p>
      <w:r>
        <w:t>Partant, en l'absence d'une pratique actuelle avérée en Croatie de violation systématique des normes communautaires en la matière, la présomption de respect par cet Etat de ses obligations concernant les droits des requérants d'asile dans le contexte d'une reprise en charge dans le cadre d'une procédure Dublin, n'est pas renversée. Ainsi, l'application de l'art. 3 par. 2 al. 2 RD III ne se justifie pas en l'espèce.</w:t>
      </w:r>
    </w:p>
    <w:p>
      <w:r>
        <w:rPr>
          <w:b/>
        </w:rPr>
        <w:t>E. 5.1</w:t>
      </w:r>
    </w:p>
    <w:p>
      <w:r>
        <w:t>Aux termes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5.2</w:t>
      </w:r>
    </w:p>
    <w:p>
      <w:r>
        <w:t>Le recourant a indiqué avoir dû déposer ses empreintes digitales de force et sous la menace des autorités croates d'un renvoi en Bosnie. Or le Tribunal rappelle que le règlement Dublin III ne confère pas aux personnes requérant l'asile le droit de choisir l'Etat membre offrant, à leur avis, les meilleures conditions d'accueil comme Etat responsable de l'examen de leur demande d'asile (cf. ATAF 2017 VI/ consid. 8.2.1). En outre, en vertu de l'art. 14 par. 1 du règlement (UE) n° 603/2013 du Parlement européen et du Conseil du 26 juin 2013 relatif à la création d'Eurodac pour la comparaison des empreintes digitales aux fins de l'application efficace du règlement Dublin III (JO L 180/1 du 29.6.2013), les autorités croates avaient le devoir de prélever sans tarder ses empreintes digitales, le recourant étant un ressortissant d'un pays tiers entré illégalement sur leur territoire.</w:t>
      </w:r>
    </w:p>
    <w:p>
      <w:r>
        <w:rPr>
          <w:b/>
        </w:rPr>
        <w:t>E. 5.3</w:t>
      </w:r>
    </w:p>
    <w:p>
      <w:r>
        <w:t>S'agissant des violences dont le recourant aurait été victime en Croatie, soit principalement la privation de nourriture et d'eau ainsi que le vol de ses effets personnels (cf. supra. FAITS A.b et consid. 4), le Tribunal constate qu'aucune pièce versée au dossier de la cause, notamment médicale, ne vient étayer les allégations de l'intéressé à ce sujet, qui demeurent dès lors à l'état d'allégués. Sans exclure le fait que le recourant ait pu être la victime de mauvais traitements en Croatie et que son bref séjour dans ce pays ait pu constituer une expérience traumatisante, le Tribunal ne dispose pour autant pas des éléments nécessaires pour conclure qu'il serait soumis à des traitements inhumains et dégradants à son retour en Croatie dans le cadre d'une procédure Dublin. S'il a certes exposé que les conditions d'accueil en Croatie avaient été difficiles et que la police l'avait maltraité, le recourant n'a pas démontré que lesdites conditions d'accueil revêtiraient un degré de pénibilité et de gravité tel au point de constituer un traitement contraire à l'art. 3 CEDH, respectivement à l'art. 3 CCT.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w:t>
      </w:r>
    </w:p>
    <w:p>
      <w:r>
        <w:rPr>
          <w:b/>
        </w:rPr>
        <w:t>E. 5.4</w:t>
      </w:r>
    </w:p>
    <w:p>
      <w:r>
        <w:t>On relèvera, à ce propos, que le SEM s'est fondé tant sur le récent arrêt de référence du TAF (cf. supra, consid. 4.4) que sur le résultat des recherches effectuées par l'Ambassade suisse auprès de différents partenaires pour conclure qu'il n'existait pas de défaillances systémiques dans le système d'asile croate et qu'il pouvait par conséquent être présumé que l'intéressé pourrait s'adresser aux autorités judiciaires croates pour se plaindre, si nécessaire, des violences et abus prétendument subis de la part des autorités croates ou de tiers. Le Tribunal considère pouvoir se fier, en l'état et s'agissant d'une procédure de reprise en charge Dublin, aux informations recueillies par l'Ambassade de Suisse, telles que décrites dans la décision du SEM du 30 mai 2023.</w:t>
      </w:r>
    </w:p>
    <w:p>
      <w:r>
        <w:rPr>
          <w:b/>
        </w:rPr>
        <w:t>E. 5.5</w:t>
      </w:r>
    </w:p>
    <w:p>
      <w:r>
        <w:t>A l'égard des problèmes de santé évoqués par le recourant, à savoir des usures psychologiques liées à son parcours migratoire et à la séparation d'avec sa famille ainsi que des troubles du sommeil, il y a lieu de constater que, hormis un journal de soins daté du 26 avril 2023 confirmant ses déclarations et bien que le recourant séjourne dans un centre fédéral pour requérants d'asile (ci-après : CFA) depuis le 11 avril 2023 (cf. SEM pce 1246140-3/3), aucun document ou rapport médical faisant état de problèmes particuliers de santé n'a été joint au recours. Le recourant n'a d'ailleurs pas invoqué à ce propos des difficultés pour avoir un rendez-vous médical au CFA ou un quelconque défaut d'instruction de la part du SEM de son état médical dans son mémoire de recours. Au surplus, il peut être renvoyé aux explications de la décision attaquée concernant l'accès à des soins médicaux en Croatie.</w:t>
      </w:r>
    </w:p>
    <w:p>
      <w:r>
        <w:rPr>
          <w:b/>
        </w:rPr>
        <w:t>E. 6</w:t>
      </w:r>
    </w:p>
    <w:p>
      <w:r>
        <w:t>Pour ce qui a trait au droit au respect de la vie familiale consacré à l'art. 8 CEDH il y a lieu de retenir ce qui suit :</w:t>
      </w:r>
    </w:p>
    <w:p>
      <w:r>
        <w:rPr>
          <w:b/>
        </w:rPr>
        <w:t>E. 6.1</w:t>
      </w:r>
    </w:p>
    <w:p>
      <w:r>
        <w:t>Selon la jurisprudence, l'étranger doit en principe justifier d'une relation étroite et effective avec une personne de sa famille, laquelle doit bénéficier en Suisse d'un droit de présence assuré (cf. ATAF 2012/4 consid. 4.3 et les arrêts du TF cités). Les relations visées par l'art. 8 CEDH sont avant tout celles qui concernent la famille dite nucléaire, soit celles qui existent entre époux ainsi qu'entre parents et enfants mineurs vivant en ménage commun (cf. ATF 15 I 143 consid. 1.3.2). Sous réserve de circonstances particulières, les concubins ne sont donc pas habilités à invoquer l'art. 8 CEDH. Ainsi, le Tribunal fédéral a précisé que la relation de concubinage stable doit être comprise comme une communauté de vie d'une certaine durée - voire durable - entre deux personnes, à caractère en principe exclusif, laquelle présente une composante tant spirituelle, corporelle qu'économique. Or, dans plusieurs domaines du droit, la portée du concubinage a été appréhendée en fonction de sa durée. Ainsi, en droit des étrangers, une durée de vie commune de moins de quatre ans est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et réf. citée).</w:t>
      </w:r>
    </w:p>
    <w:p>
      <w:r>
        <w:rPr>
          <w:b/>
        </w:rPr>
        <w:t>E. 6.2</w:t>
      </w:r>
    </w:p>
    <w:p>
      <w:r>
        <w:t>En l'espèce, pour autant que l'art. 8 CEDH soit applicable, vu l'absence d'un droit de présence assuré en Suisse de sa compagne, le recourant ne saurait tirer aucun avantage de cette disposition pour la présente cause. En effet, bien que l'intéressé ait fait état, lors de son entretien individuel Dublin, d'une relation de plus de six mois avec une compatriote avec laquelle il avait décidé de quitter la Turquie afin de fonder une famille dans un pays où ils se sentiraient plus en sécurité, il ressort de ses déclarations que le couple n'en est qu'à un stade embryonnaire, de telle sorte qu'aucun projet concret de mariage n'est envisagé par le jeune couple et la présence d'enfants communs n'a jamais été mentionnée par l'intéressé (cf. entretien Dublin du 21 avril 2023 et décision du SEM du 30 mai 2023, p. 6). Partant, bien que le Tribunal ne remette pas en cause l'attachement du recourant envers sa copine, la relation affective entre le recourant et cette dernière n'entre pas dans la définition du noyau familial comme protégé par l'art. 8 CEDH et celui-ci ne peut se prévaloir de ladite disposition afin de s'opposer à son transfert vers la Croatie (cf. arrêts du TAF E-1984/2023 du 1er mai 2023 consid. 7.3 et F-5582/2022 du 13 décembre 2022 consid. 4.7). On ne saurait non plus reprocher au SEM de ne pas avoir traité en commun les dossiers de l'intéressé et de sa copine.</w:t>
      </w:r>
    </w:p>
    <w:p>
      <w:r>
        <w:rPr>
          <w:b/>
        </w:rPr>
        <w:t>E. 7</w:t>
      </w:r>
    </w:p>
    <w:p>
      <w:r>
        <w:t>Au vu de ce qui précède, le transfert du recourant vers la Croatie n'est pas contraire aux obligations de la Suisse découlant des art. 33 CR, 3, 8 et 13 CEDH ainsi que 3 et 14 CCT. Par ailleurs, il ne peut être reproché à l'autorité inférieure de n'avoir pas tenu compte d'éléments importants lors de l'examen de la clause de souveraineté de l'art. 29a al. 3 OA 1, en lien avec l'art. 17 par. 1 RD III, ou d'en avoir fait une application contraire au droit ou aux principes constitutionnels fondamentaux, en particulier l'interdiction de l'arbitraire, l'égalité de traitement et la proportionnalité.</w:t>
      </w:r>
    </w:p>
    <w:p>
      <w:r>
        <w:rPr>
          <w:b/>
        </w:rPr>
        <w:t>E. 8</w:t>
      </w:r>
    </w:p>
    <w:p>
      <w:r>
        <w:t>Dans ces conditions,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Le recours est, par conséquent, rejeté.</w:t>
      </w:r>
    </w:p>
    <w:p>
      <w:r>
        <w:rPr>
          <w:b/>
        </w:rPr>
        <w:t>E. 9.1</w:t>
      </w:r>
    </w:p>
    <w:p>
      <w:r>
        <w:t>Au vu de ce qui précède, 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9.2</w:t>
      </w:r>
    </w:p>
    <w:p>
      <w:r>
        <w:t>Dans la mesure où il a été immédiatement statué sur le fond, la requête formulée dans le recours tendant à l'octroi de l'effet suspensif est sans objet. Le prononcé immédiat du présent arrêt rend caduques les mesuressuperprovisionnelles ordonnées le 9 juin 2023.</w:t>
      </w:r>
    </w:p>
    <w:p>
      <w:r>
        <w:rPr>
          <w:b/>
        </w:rPr>
        <w:t>E. 9.3</w:t>
      </w:r>
    </w:p>
    <w:p>
      <w:r>
        <w:t>En outre, les conclusions du recours étant d'emblée vouées à l'échec, la requête d'assistance judiciaire totale est rejetée.</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