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F-3303/2016 vom 3. Januar 2017</w:t>
      </w:r>
    </w:p>
    <w:p>
      <w:r>
        <w:t>Bundesverwaltungsgericht, 2017-01-03, DE</w:t>
      </w:r>
    </w:p>
    <w:p>
      <w:r>
        <w:rPr>
          <w:b/>
        </w:rPr>
        <w:t xml:space="preserve">Quelle: </w:t>
      </w:r>
      <w:r>
        <w:t>https://mcp.opencaselaw.ch/entscheid/bvger_F-3303_2016</w:t>
      </w:r>
    </w:p>
    <w:p>
      <w:r>
        <w:t>FR: TAF F-3303/2016 du 3 janvier 2017</w:t>
      </w:r>
    </w:p>
    <w:p>
      <w:r>
        <w:t>IT: TAF F-3303/2016 del 3 gennaio 2017</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beziehungsweise Einspracheentscheide des SEM, mit denen die Erteilung von Einreisevisa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Die Beschwerdeführerenden sind gemäss Art. 48 Abs. 1 VwVG zur Beschwerde berechtigt. Auf die frist- und abgesehen von der nachfolgenden Einschränkung formgerecht eingereichte Beschwerde ist somit einzutreten (Art. 50 und 52 Abs.1 VwVG).</w:t>
      </w:r>
    </w:p>
    <w:p>
      <w:r>
        <w:rPr>
          <w:b/>
        </w:rPr>
        <w:t>E. 1.4</w:t>
      </w:r>
    </w:p>
    <w:p>
      <w:r>
        <w:t>Die Beschwerde wurde in englischer Sprache und somit nicht in einer Amtssprache des Bundes abgefasst. Auf die Ansetzung einer Frist zur Beschwerdeverbesserung oder auf die Einholung einer Übersetzung kann indessen aus prozessökonomischen Gründen praxisgemäss verzichtet werden, da der Eingabe der Beschwerdeführenden genügend klare, sinngemässe Rechtsbegehren und deren Begründung zu entnehmen sind.</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Die im Ausländergesetz (AuG, SR 142.20) und seinen Ausführungsbestimmungen enthaltenen Regelungen über das Visumsverfahren und über die Ein- und Ausreise gelangen nur soweit zur Anwendung, als die EU/EFTA-Personenfreizügigkeitsabkommen nicht zur Anwendung kommen und die Schengen-Assoziierungsabkommen keine abweichenden Bestimmungen enthalten (vgl. Art. 2 Abs. 2 - 4 AuG).</w:t>
      </w:r>
    </w:p>
    <w:p>
      <w:r>
        <w:rPr>
          <w:b/>
        </w:rPr>
        <w:t>E. 3.2</w:t>
      </w:r>
    </w:p>
    <w:p>
      <w:r>
        <w:t>Angehörige von Staaten, die nicht Teil des Schengen-Raumes sind (sog. Drittstaatsangehörige), müssen für die Einreise für einen Aufenthalt von höchstens 90 Tagen innerhalb eins Zeitraums von 180 Tagen die in Art. 6 Abs. 1 Art. 6 Abs. 1 Bst. a - e des Schengener-Grenzkodex (Verordnung [EU] 2016/399 vom 9. März 2016, kodifizierter Text, ABl. L 77/1 vom 23.3.2016, nachfolgend: SGK-K) aufgeführten Voraussetzungen erfüllen. Unter anderem muss der Drittstaatsangehörige über gültige Reisedokumente, die zum Grenzübertritt berechtigen (Bst. a), und über ein Visum verfügen, sofern dieses gemäss der Verordnung (EG) Nr. 539/2001 vom 15. März 2001 (ABl. L 81/1 vom 31.3.2001) erforderlich ist (Bst. b); ferner hat er den Zweck und die Umstände des beabsichtigten Aufenthalts zu belegen und über genügende finanzielle Mittel dafür zu verfügen (Bst. c).</w:t>
      </w:r>
    </w:p>
    <w:p>
      <w:r>
        <w:rPr>
          <w:b/>
        </w:rPr>
        <w:t>E. 3.3</w:t>
      </w:r>
    </w:p>
    <w:p>
      <w:r>
        <w:t>Sind eine oder mehrere Voraussetzungen für die Erteilung eines einheitlichen Visums für den gesamten Schengen-Raum nicht erfüllt, so haben die Mitgliedstaaten gemäss Art. 6 Abs. 5 Bst. c SGK-K die Möglichkeit, namentlich aus humanitären Gründen die Einreise ins eigene Hoheitsgebiet zu bewilligen (Visum mit räumlich beschränkter Gültigkeit, VrG). Zwecks Konkretisierung dieser Bestimmung erliess die Vorinstanz in Absprache mit dem Eidgenössischen Departement für auswärtige Angelegenheiten EDA (vgl. Art. 2 Abs. 4 der Verordnung vom 22. Oktober 2008 über die Einreise und die Visumerteilung [VEV, SR 142.204]) am 28. September 2012 eine Weisung (Weisung "Visumantrag aus humanitären Gründen", Nr. 322.126, zuletzt geändert am 30. August 2016, &lt; https://www.sem.admin.ch/dam/data/sem/rechtsgrundlagen/weisungen/auslaender/einreise-ch/20140225-weis-visum-humanitaer-d.pdf &gt;, abgerufen im Dezember 2016; vgl. zur Entstehungsgeschichte ausführlich BVGE 2015/5 E. 4 m.H. sowie E. 7.2 m.H. zur Rechtsnatur von Weisungen).</w:t>
      </w:r>
    </w:p>
    <w:p>
      <w:r>
        <w:rPr>
          <w:b/>
        </w:rPr>
        <w:t>E. 3.4</w:t>
      </w:r>
    </w:p>
    <w:p>
      <w:r>
        <w:t>Dem angefochtenen Entscheid liegen Gesuche von Staatsangehörigen aus Sri Lanka um Erteilung eines sog. einheitlichen Schengen-Visums beziehungsweise eines Visums mit räumlich beschränkter Gültigkeit aus humanitären Gründen zugrunde. Die Gesuchstellenden unterstehen nach den eben dargelegten Rechtsgrundlagen aufgrund ihrer Staatsangehörigkeit der Visumspflicht.</w:t>
      </w:r>
    </w:p>
    <w:p>
      <w:r>
        <w:rPr>
          <w:b/>
        </w:rPr>
        <w:t>E. 4</w:t>
      </w:r>
    </w:p>
    <w:p>
      <w:r>
        <w:t>Die Beschwerdeführenden haben sich auf Beschwerdeebene nicht mit dem Vorbehalt der Vorinstanz gegen die Erteilung einheitlicher Schengen-Visa - die Beschwerdeführenden hätten nicht die Absicht, fristgerecht wieder auszureisen - auseinandergesetzt. Aufgrund der Akten ist mit der Vor-instanz davon auszugehen, dass im vorliegenden Fall die Ausstellung von ordentlichen Schengen-Visa ausser Betracht fällt, da begründete Zweifel daran bestehen, dass die Beschwerdeführerin und ihr Sohn die Schweiz respektive den Schengen-Raum vor Ablauf der maximalen zeitlichen Gültigkeit der Visa verlassen würden. Gegen die Absicht einer fristgerechten Wiederausreise sprechen die Schilderungen der persönlichen Situation (vgl. E. 6). Zu prüfen bleibt daher, ob aus humanitären Gründen Visa nur für die Schweiz auszustellen sind (vgl. E. 3.3 und E. 5).</w:t>
      </w:r>
    </w:p>
    <w:p>
      <w:r>
        <w:rPr>
          <w:b/>
        </w:rPr>
        <w:t>E. 5</w:t>
      </w:r>
    </w:p>
    <w:p>
      <w:r>
        <w:t>Ein Visum aus humanitären Gründen kann gemäss Ziff. 2 der erwähnten Weisung erteilt werden, wenn bei einer Person aufgrund des konkreten Einzelfalls offensichtlich davon auszugehen ist,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Es ist jeweils eine sorgfältige Prüfung des Einzelfalls erforderlich. Befindet sich eine Person bereits in einem Drittstaat, ist in der Regel davon auszugehen, dass keine Gefährdung mehr besteht. Die Erteilung eines humanitären Visums nach den erwähnten Weisungen ist somit an sehr restriktive Voraussetzungen geknüpft (vgl. BVGE 2015/5 E. 4.1.3 m.H.).</w:t>
      </w:r>
    </w:p>
    <w:p>
      <w:r>
        <w:rPr>
          <w:b/>
        </w:rPr>
        <w:t>E. 6.1</w:t>
      </w:r>
    </w:p>
    <w:p>
      <w:r>
        <w:t>Mit der Vorinstanz ist davon auszugehen, dass die von den Beschwerdeführenden geltend gemachten Gründe nicht ausreichen, von einer unmittelbaren, ernsthaften und konkreten Gefährdung an Leib und Leben im Sinne der zitierten Weisung auszugehen.</w:t>
      </w:r>
    </w:p>
    <w:p>
      <w:r>
        <w:rPr>
          <w:b/>
        </w:rPr>
        <w:t>E. 6.2</w:t>
      </w:r>
    </w:p>
    <w:p>
      <w:r>
        <w:t>Im unter BVGE 2011/24 publizierten Länderurteil betreffend Sri Lanka wurden diverse Personenkreise definiert, die heute trotz der verbesserten Sicherheitslage seit Beendigung des militärischen Konflikts im Mai 2009 immer noch einer erhöhten Verfolgungsgefahr ausgesetzt sind. Das Urteil führt aus, dass auch die Gewalt gegenüber Frauen durch die Intensivierung der Kampfhandlungen in der Schlussphase des Konfliktes, insbesondere im Norden und im Osten des Landes, zugenommen hat. Trotz Beendigung der militärischen Feindseligkeiten werde nach wie vor von sexuellen Übergriffen respektive geschlechtsspezifischer Gewalt gegenüber Frauen berichtet. Im Norden Sri Lankas, wo in vielen der neu angesiedelten Familien eine Frau Familienoberhaupt ist, werde von - durch Angehörige der sri-lankischen Sicherheitskräfte begangenen - Vergewaltigungen berichtet. Auch in den Lagern für Binnenvertriebene (IDP-Camps) und in den Haftanstalten sollen viele Frauen Vergewaltigungen und sexuelle Gewalt seitens des Sicherheitspersonals erlitten haben, womit sie in eigener Person Zeuge von massiven Verbrechen und sexuellen Übergriffen geworden sind. Die bestehenden Gesetzesbestimmungen, welche Vergewaltigung, häusliche Gewalt und andere Formen der Gewalt gegen Frauen unter Strafe stellen, werden nicht wirksam umgesetzt (vgl. UNHCR 2010, a. a. O., S. 7 ff.; U.S. Department of State 2010, a. a. O.; United Kingdom Foreign &amp; Commonwealth Office, März 2011, a. a. O., S. 292, BVGE 2011/24 E. 8.3.1). Auch Kinder sind betroffen, es wird berichtet, dass die Eelam People's Democratic Party (EPDP) und die People's Liberation Organization of Tamil Eelam (PLOTE) weiterhin Kinder für bestimmte Aufgaben, etwa die Beobachtung von Büros, rekrutieren und benutzen. Bis heute wurde in Fällen der Rekrutierung von Kindern weder ermittelt noch ein Verfahren eingeleitet (vgl. UNHCR 2010, a. a. O., S. 8 und Fn. 60 mit weiterem Verweis) (vgl. BVGE 2011/24 E. 8.3.2).</w:t>
      </w:r>
    </w:p>
    <w:p>
      <w:r>
        <w:rPr>
          <w:b/>
        </w:rPr>
        <w:t>E. 6.3</w:t>
      </w:r>
    </w:p>
    <w:p>
      <w:r>
        <w:t>Die Beschwerdeführerin gab in einem Schreiben vom 6. Dezember 2015 an, dass ihr die Regierung Sri Lankas im Jahr 2010 eine Todesbescheinigung für ihren Ehemann ausgestellt habe (SEM-pag. 13 und 17). Sie brachte auch vor, an ihrem Aufenthaltsort von Angehörigen des Militärs belästigt und mitgenommen worden zu sein und legte dafür eine Bestätigung des "Diocesan Secretariat - Diocese of X._______" vom 15. März 2016 (SEM-pag. 51), ein Schreiben eines "human right defenders" vom 17. Februar 2016 (SEM-pag. 39 - 40), einen Beleg des "Citizens' Committee X.________ District" vom 5. Dezember 2015 (SEM-pag. 18) und ein Schreiben eines "Member of Parliament" (SEM-pag. 9) ins Recht. Aus Sicht des Bundesverwaltungsgerichts hat die Beschwerdeführerin glaubhaft gemacht, dass ihr Ehemann tot ist und sie nun alleine für sich und ihren Sohn sorgen muss. Allerdings teilt das Gericht die Einschätzung der Botschaft, wonach den Beschwerdeführenden keine konkrete Gefährdung droht. Obwohl die Beschwerdeführerin zahlreiche Eingaben ins Recht legte, blieben ihre Angaben zu den angeblich erlittenen Belästigungen durch Angehörige des Militärs in jedem dieser Schreiben sehr allgemein und vage. Des Weiteren widerspricht sie sich bezüglich der Vorkommnisse. Einerseits gab sie in ihrer Beschwerde vom 13. Mai 2016 an, am 1. Mai 2016 von Polizisten des CID abgeholt und eine Nacht festgehalten worden zu sein. Anderseits ist dem Schreiben vom 4. Mai 2016 zu entnehmen, dass sie am 2. Mai 2016 Besuch von Polizisten in zivil gehabt habe. Die Festnahme vom 1. Mai 2016 erwähnt sie in diesem Schreiben mit keinem Wort, obwohl eine Nacht in einem Armeecamp ein einschneidendes Ereignis gewesen sein müsste (BVGer-act. 1). Es erscheint auch als wenig plausibel, dass die Sicherheitsbehörden sie noch immer nach ihrem Mann befragen sollten, hat sie doch angegeben, dass ihr die Regierung Sri Lankas im Jahr 2010 eine Todesbescheinigung ausgestellt hat (SEM-pag. 13 und 17). Sie hat auch nicht angegeben, selbst für die LTTE tätig gewesen zu sein. Des Weiteren hat sie nicht vorgebracht, sie hätte um Hilfe nachgesucht und die Behörden würden sie nicht unterstützen sowie sie hat diesbezüglich auch keine weiteren Belege geliefert oder eine allfällige Untätigkeit der Behörden konkreter geschildert. In Anbetracht all dieser Erwägungen kommt das Gericht zum Schluss, dass die Voraussetzungen für die Erteilung eines humanitären Visums vorliegend nicht erfüllt sind. Die Beschwerdeführenden erlitten seitens der sri-lankischen Behörden keine erheblichen Nachteile. Aufgrund der Aktenlage erscheint es wenig wahrscheinlich, dass sie in absehbarer Zukunft von den sri-lankischen Behörden in gesteigertem Ausmass behelligt werden. Angesichts der zugegebenermassen problematischen Sicherheitslage und der wirtschaftlichen Probleme, ist verständlich, dass die Beschwerdeführenden ihre Lage subjektiv als bedrohlich empfinden; jedoch bestehen im vorliegenden Fall keine konkreten Anzeichen dafür, dass sie in Sri Lanka unmittelbar, ernsthaft und konkret an Leib und Leben bedroht sind. Sollten sich die Beschwerdeführenden weiterhin bedroht fühlen, steht es ihnen offen, sich an die sri-lankischen Sicherheitsbehörden zu wenden und entsprechende Sicherheitsvorkehrungen zu treffen. Wie vom SEM zutreffend erwogen wurde, befinden sie sich somit nicht in einer besonderen Notsituation, die ein behördliches Eingreifen seitens der Schweiz zwingend erforderlich machen würde.</w:t>
      </w:r>
    </w:p>
    <w:p>
      <w:r>
        <w:rPr>
          <w:b/>
        </w:rPr>
        <w:t>E. 7</w:t>
      </w:r>
    </w:p>
    <w:p>
      <w:r>
        <w:t>Die Verweigerung der Erteilung von Visa an die Beschwerdeführerin und ihr Kind durch die Vorinstanz ist nach dem Gesagten sowohl mit Blick auf die Voraussetzungen für die Erteilung von einheitlichen Schengen-Visa (E. 4) als mit Blick auf die Voraussetzungen für die Erteilung von Visa mit räumlich beschränkter Gültigkeit (E. 5 - E. 6) zu Recht erfolgt. Die angefochtene Verfügung ist somit im Lichte von Art. 49 VwVG nicht zu beanstanden. Die Beschwerde ist demnach abzuweisen.</w:t>
      </w:r>
    </w:p>
    <w:p>
      <w:r>
        <w:rPr>
          <w:b/>
        </w:rPr>
        <w:t>E. 8</w:t>
      </w:r>
    </w:p>
    <w:p>
      <w:r>
        <w:t>Bei diesem Ausgang des Verfahrens wären dessen Kosten grundsätzlich den unterlegenen Beschwerdeführenden aufzuerlegen. Im vorliegenden Fall ist jedoch aus verwaltungsökonomischen Gründen in Anwendung von Art. 63 Abs. 1 in fine VwVG und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