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F-3298/2017 vom 12. März 2019</w:t>
      </w:r>
    </w:p>
    <w:p>
      <w:r>
        <w:t>Bundesverwaltungsgericht, 2019-03-12, FR</w:t>
      </w:r>
    </w:p>
    <w:p>
      <w:r>
        <w:rPr>
          <w:b/>
        </w:rPr>
        <w:t xml:space="preserve">Quelle: </w:t>
      </w:r>
      <w:r>
        <w:t>https://mcp.opencaselaw.ch/entscheid/bvger_F-3298_2017</w:t>
      </w:r>
    </w:p>
    <w:p>
      <w:r>
        <w:t>FR: TAF F-3298/2017 du 12 mars 2019</w:t>
      </w:r>
    </w:p>
    <w:p>
      <w:r>
        <w:t>IT: TAF F-3298/2017 del 12 marzo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les délais prescrits par la loi, son recours est recevable (art. 50 et art.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et l'OIE.</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4.1</w:t>
      </w:r>
    </w:p>
    <w:p>
      <w:r>
        <w:t>Les autorités chargées de l'exécution des dispositions légales contenues dans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SMIG a soumis sa décision à l'approbation du SEM en conformité avec les art. 40 al. 1 et 99 LEtr et l'art. 5 let. d de l'ordonnance du 13 août 2015 du DFJP relative aux autorisations soumises à la procédure d'approbation et aux décisions préalables dans le domaine du droit des étrangers [RS 142.201.1]). Il s'ensuit que le SEM et, a fortiori, le Tribunal ne sont pas liés par la décision du SMIG d'octroyer une autorisation de séjour aux intéressés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L'ancien art. 31 al. 1 OASA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 ; Vuille/Schenk, L'article 14 alinéa 2 de la loi sur l'asile et la notion d'intégration, in : Cesla Amarelle [éd.], L'intégration des étrangers à l'épreuve du droit suisse, 2012, p. 114).</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6.1</w:t>
      </w:r>
    </w:p>
    <w:p>
      <w:r>
        <w:t>A l'appui de leur pourvoi, les recourants ont notamment mis en avant leurs attaches extrêmement fortes à la communauté au sein de laquelle ils résident depuis de très nombreuses années en Suisse, ceci, d'une part, au travers de leur implication à de nombreux projets musicaux et, d'autre part, au travers de leurs deux filles aînées. Celles-ci sont en effet nées en Suisse, y sont scolarisées et y ont leur centre d'intérêts. Ils ont ainsi estimé que ces éléments permettaient de relativiser leurs difficultés financières actuelles tout comme les écarts de conduite de A._______.</w:t>
      </w:r>
    </w:p>
    <w:p>
      <w:r>
        <w:rPr>
          <w:b/>
        </w:rPr>
        <w:t>E. 6.2</w:t>
      </w:r>
    </w:p>
    <w:p>
      <w:r>
        <w:t>Dès lors que les intéressés ont mis en avant leur long séjour en Suisse, il convient d'examiner à titre préalable s'ils peuvent se prévaloir de manière défendable du droit au respect de la vie privée garanti par l'art. 8 CEDH.</w:t>
      </w:r>
    </w:p>
    <w:p>
      <w:r>
        <w:rPr>
          <w:b/>
        </w:rPr>
        <w:t>E. 6.3</w:t>
      </w:r>
    </w:p>
    <w:p>
      <w:r>
        <w:t>Dans un arrêt récent, le Tribunal fédéral a retenu, contrairement à sa jurisprudence précédente, que la question du droit au respect de la vie privée (art. 8 par. 1 CEDH) devait être examinée dans le cadre d'une approche globale fondée sur l'art. 8 par. 2 CEDH (arrêt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(arrêt 2C_105/2017 consid. 3.9). Il a cependant précisé que ces considérations ne s'appliquaient pas aux personnes dont le séjour en Suisse dérivait de l'octroi d'une autorisation de séjour à des fins de formation (arrêt 2C_107/2017 consid. 3.3) Seules les personnes au bénéfice d'un droit de présence assuré en Suisse peuvent donc se prévaloir d'une protection de leur vie privée au sens de l'art. 8 CEDH (arrêt du Tribunal fédéral 2C_369/2018 du 29 octobre 2018 consid. 5.1).</w:t>
      </w:r>
    </w:p>
    <w:p>
      <w:r>
        <w:rPr>
          <w:b/>
        </w:rPr>
        <w:t>E. 6.4</w:t>
      </w:r>
    </w:p>
    <w:p>
      <w:r>
        <w:t>Aussi, dans le présent cas, les intéressés, qui, de par la nature de leur séjour en Suisse, n'ont bénéficié que d'autorisations de séjour à caractère temporaire, ne peuvent se prévaloir valablement d'un droit à une autorisation de séjour fondée sur la protection de la vie privée garantie par l'art. 8 CEDH.</w:t>
      </w:r>
    </w:p>
    <w:p>
      <w:r>
        <w:rPr>
          <w:b/>
        </w:rPr>
        <w:t>E. 7.1</w:t>
      </w:r>
    </w:p>
    <w:p>
      <w:r>
        <w:t>Il convient dès lors d'examiner dans quelle mesure la situation des intéressés est susceptible de constituer un cas d'application de l'art. 30 al. 1 let. b LEtr, selon les critères rappelés au consid. 5 ci-avant.</w:t>
      </w:r>
    </w:p>
    <w:p>
      <w:r>
        <w:rPr>
          <w:b/>
        </w:rPr>
        <w:t>E. 7.2</w:t>
      </w:r>
    </w:p>
    <w:p>
      <w:r>
        <w:t>En l'espèce, le Tribunal constate en premier lieu que A._______ et B._______ sont arrivés en Suisse le 10 septembre 2004 et que tous deux ont été mis au bénéfice d'une autorisation de séjour pour formation, régulièrement renouvelée jusqu'en 2014. A partir du 1er février 2014, A._______ a été mis au bénéfice d'une autorisation de séjour au titre du regroupement familial auprès de son épouse. Cette dernière a, quant à elle, été mise au bénéfice d'une autorisation de séjour de courte durée à des fins de recherche d'emploi, à partir du 11 septembre 2014. Leurs autorisations respectives sont cependant arrivées à échéance le 14 décembre 2014 et depuis, ils séjournent sur le territoire helvétique au bénéfice d'une tolérance. Dans la décision du 5 mai 2017, le SEM a retenu à juste titre que les intéressés avaient été mis au bénéfice d'autorisations de séjour pour formation, soit des autorisations à caractère temporaire, lesquelles ne devaient pas être exploitées de manière abusive, dans le but d'éluder des conditions d'admission plus sévère. Il a également rappelé l'engagement écrit de A._______, daté du 4 février 2010, à quitter la Suisse au terme de sa formation. Il faut toutefois porter au crédit des intéressés que jusqu'en 2014, ils se sont vus régulièrement prolonger leur autorisation de séjour par les autorités cantonales et qu'ils ont effectivement mis à profit les opportunités qui leur étaient données pour parfaire leurs connaissances en Suisse, ainsi qu'ils l'avaient annoncé dans leurs requêtes initiales respectives. Il faut également porter au crédit de A._______ qu'il a saisi, durant ces années, de nombreuses opportunités pour exercer une activité professionnelle (ainsi qu'en attestent les diverses recommandations jointes au dossier) et chercher ainsi à atteindre - sans toutefois y parvenir - une autonomie financière. Cela étant, ce seul critère ne saurait suffire à retenir l'existence d'un cas de détresse personnelle grave. Aussi, il y a lieu de procéder à l'examen des autres critères d'évaluation retenus à l'art. 30 al. 1 let. b LEtr.</w:t>
      </w:r>
    </w:p>
    <w:p>
      <w:r>
        <w:rPr>
          <w:b/>
        </w:rPr>
        <w:t>E. 7.3</w:t>
      </w:r>
    </w:p>
    <w:p>
      <w:r>
        <w:t>Sous l'angle de l'intégration socioculturelle des intéressés, le Tribunal observe que tant les parents que leurs deux filles aînées s'expriment avec facilité en français. Ce constat va cependant de soi pour les deux filles aînées des intéressés, en raison de leur scolarisation en Suisse. Aussi, pour ces dernières, ces connaissances n'ont aucun caractère exceptionnel, tout comme le fait qu'en dehors de leur scolarité, elles exercent des activités extrascolaires, à savoir le karaté et le patinage. S'agissant de A._______, le Tribunal observe en outre que ce dernier s'est engagé de manière particulièrement active dans plusieurs choeurs régionaux, que ce soit en tant que soliste, en tant que musicien ou encore en tant qu'enseignant. Cet engagement doit cependant être relativisé, dans la mesure où, d'une part, cette implication procède de sa formation et ne constitue ainsi rien d'exceptionnel et où, d'autre part, certains de ces choeurs ont pour vocation la transmission du chant orthodoxe sacré, lequel ne fait pas spécifiquement partie de la culture musicale suisse. S'agissant de B._______, le Tribunal doit observer qu'il n'existe aucun élément au dossier qui permettrait de retenir en sa faveur un engagement particulièrement intense dans la société civile ou culturelle. Enfin, en raison de son âge, le 3e enfant du couple, né en décembre 2017, ne peut tirer aucun avantage de ce critère. Cela étant,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F-1714/2016 du 24 février 2017 consid. 5.3). En conséquence, l'intégration socioculturelle des intéressés ne comporte pas d'aspect spécifique qui plaiderait en faveur d'une intégration particulièrement poussée.</w:t>
      </w:r>
    </w:p>
    <w:p>
      <w:r>
        <w:rPr>
          <w:b/>
        </w:rPr>
        <w:t>E. 7.4</w:t>
      </w:r>
    </w:p>
    <w:p>
      <w:r>
        <w:t>Concernant l'intégration professionnelle des recourants, il faut retenir en faveur de A._______ qu'il a cherché à acquérir une autonomie financière, n'hésitant ainsi pas à entreprendre une formation complémentaire dans le domaine de l'horlogerie. Sous cet angle, il convient également de porter à son actif le fait qu'une demande d'autorisation de travail a été introduite en sa faveur en octobre 2013 par une entreprise horlogère. Les autorités cantonales de l'emploi se sont cependant vues contraintes de la rejeter, dès lors qu'elle ne répondait pas aux exigences fixées pour l'engagement de main-d'oeuvre étrangère. Le recourant a également cherché à intensifier ses engagements dans le domaine musical, cependant, ces derniers ne sont pas suffisants pour lui permettre d'atteindre une autonomie financière. Quant à B._______, elle a certes produit une promesse d'engagement par l'Académie et école de musique Kayaleh. Celle-ci est cependant conditionnée à un nombre d'inscriptions suffisant pour ouvrir une classe et il n'apparaît pas que cela serait le cas aujourd'hui. Le site internet de dite Académie et école de musique ne fait en tous les cas pas mention de l'intéressée en tant qu'enseignante ou intervenante (site visité en janvier 2019). Il n'apparaît pas davantage qu'elle serait régulièrement engagée en tant que violoniste et contribuerait ainsi aux frais du ménage. Par ailleurs, bien qu'elle ait bénéficié d'une autorisation de courte durée, après l'obtention de son diplôme en juin 2014, à des fins de recherche d'emploi, le dossier ne fait cependant mention d'aucune démarche en ce sens. En relation avec la volonté des intéressés de prendre part à la vie économique, il convient de porter à leur crédit que leur situation financière s'est surtout obérée à partir d'avril 2014, soit peu de temps après que A._______ a été mis au bénéfice d'une autorisation de séjour de courte durée au titre du regroupement familial auprès de son épouse. Les extraits du registre des poursuites du 21 juin 2016 et du 19 avril 2017 en attestent. Par ailleurs, le fait que B._______ ne bénéficie plus d'une bourse d'étude - tout comme d'ailleurs A._______ après sa période d'étude à l'Académie et école de musique Kayaleh - ensuite de l'obtention de son diplôme de fin d'étude explique également les difficultés financières rencontrées par les intéressés à partir de 2014. Toutefois, nonobstant ce qui précède, il convient tout de même de retenir que, depuis 2014, les intéressés ne sont plus en mesure de subvenir de manière autonome à leurs besoins et que B._______ n'a jamais été au bénéfice d'un contrat de travail régulier depuis l'achèvement de sa formation. Quoiqu'il en soit, même si les efforts fournis jusqu'à ce jour sont certes louables, l'intégration professionnelle des recourants ne revêt cependant pas un caractère exceptionnel au point de justifier, à elle seule, l'octroi d'une autorisation de séjour en dérogation aux conditions d'admission. Au demeurant, comme l'a relevé à juste titre le SEM dans sa décision, aucun des membres de la famille n'a acquis en Suisse des qualifications ou des connaissances spécifiques qu'il ne pourrait pas mettre à profit en Ukraine, ni réalisé une ascension professionnelle remarquable, circonstances susceptibles de justifier à certaines conditions l'octroi d'un permis humanitaire (arrêt du TAF F-1714/2016 consid. 5.2). En tout état de cause, le Tribunal considère que, par rapport à la situation des autres étrangers se trouvant en Suisse depuis de nombreuses années, les recourants ne sauraient se prévaloir d'une intégration professionnelle en ce pays si remarquable qu'elle soit de nature à justifier, à elle seule, l'admission d'un cas de rigueur au sens de l'art. 30 al. 1 let. b LEtr, en relation avec l'art. 31 al. 1 aOASA. Dans la même mesure, bien que les deux filles ainées du couple peuvent se prévaloir d'un parcours scolaire sans embûches, eu égard à l'état d'avancement de celui-ci (elles n'ont pas encore débuté le cycle secondaire), il ne peut pas davantage constituer à lui seul un critère propre à reconnaître une situation de détresse personnelle grave. En effet, il convient de retenir qu'elles ne se trouvent pas à ce point avancées dans leur scolarité qu'un renvoi en Ukraine les placerait dans une situation de difficulté extrême comme l'obligation de reprendre depuis le commencement des études entamées en Suisse et devant mener à très court terme à l'obtention d'un certificat fédéral de capacité ou à un titre de bachelor.</w:t>
      </w:r>
    </w:p>
    <w:p>
      <w:r>
        <w:rPr>
          <w:b/>
        </w:rPr>
        <w:t>E. 7.5</w:t>
      </w:r>
    </w:p>
    <w:p>
      <w:r>
        <w:t>Pour ce qui a trait au respect de l'ordre juridique des intéressés, le SEM a relevé dans sa décision du 5 mai 2017 que le comportement de A._______ avait donné lieu à plusieurs plaintes et que l'intéressé avait fait l'objet non seulement d'un rapport de police en avril 2010 mais également de trois condamnations, en 2006, en 2010 et en 2016, pour des infractions liées à la LCR. Ces faits n'ont pas été contestés par les intéressés. Cela étant, il convient de relever que les condamnations prononcées ne sauraient à elles seules justifier un rejet de la requête des intéressés mais constituent néanmoins un facteur parmi d'autres à prendre en compte dans l'appréciation globale.</w:t>
      </w:r>
    </w:p>
    <w:p>
      <w:r>
        <w:rPr>
          <w:b/>
        </w:rPr>
        <w:t>E. 7.6</w:t>
      </w:r>
    </w:p>
    <w:p>
      <w:r>
        <w:t>S'agissant des perspectives de réintégration des recourants,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Dans le présent cas, les intéressés ont mis en avant les difficultés auxquelles seraient exposées leurs deux filles ainées, compte tenu, d'une part, qu'elles ne parlent pas ukrainien et, d'autre part, que la cadette, D._______, souffre de dysgraphie et de dyslexie et bénéficie, de ce fait, de l'aide de deux orthophonistes, l'une francophone et l'autre russophone. A cet égard, le Tribunal observe que les deux filles ainées des recourants sont nées en Suisse et y ont tous leurs repères. Elles ont été scolarisées dans la langue française et si elles parlent le russe à la maison, elles n'ont cependant aucune connaissance de la langue ukrainienne. Cela étant, il considère qu'elles pourront, dans un premier temps du moins, poursuivre leur scolarité dans la langue russe même si toute personne qui souhaite poursuivre des études doit le faire en ukrainien. Ce répit devrait ainsi permettre à D._______ de stabiliser ses acquis, eu égard à ses difficultés langagières. Certes, de l'avis de l'orthophoniste qui la suit dans l'apprentissage de la langue française « il est important qu'elle puisse poursuivre sa scolarité dans une langue qu'elle connaît déjà ». Cela étant, le Tribunal observe qu'D._______, compte tenu de son âge, est encore dans le premier cycle de la scolarité et que, tout comme pour sa soeur, ce facteur s'inscrit de manière positive dans sa réinstallation en Ukraine. Enfin, il n'apparaît pas qu'elle ne pourrait pas bénéficier de mesures comparables en Ukraine. Aussi, dans la mesure où ces enfants sont en bonne santé et n'ont pas encore atteint l'âge crucial de l'adolescence, cet élément ne peut être considéré comme prépondérant pour l'admission du recours dans le cadre de l'octroi d'une autorisation de séjour selon l'art. 30 LEtr au vu des conditions restrictives posées par la pratique et la jurisprudence pour la reconnaissance d'une situation d'extrême gravité. Cela étant, plus globalement, le Tribunal observe que A._______ et B._______ ont passé leur enfance, leur adolescence et, pour A._______, les premières années de sa vie professionnelle, en Ukraine. Le Tribunal ne saurait admettre que ces années sont moins déterminantes pour la formation de la personnalité et, partant, pour l'intégration socioculturelle, que le séjour des intéressés en Suisse (cf. ATF 123 II 125 consid. 5b/aa) et ce, d'autant moins qu'ils ont encore de la parenté en Ukraine. Il n'est ainsi pas concevable que leur pays leur soit devenu à ce point étranger qu'ils ne seraient plus en mesure, après une période de réadaptation, d'y retrouver leurs repères. En conséquence, le Tribunal, à l'instar de l'autorité de première instance, parvient à la conclusion que les recourants, à défaut de liens spécialement intenses avec la Suisse, ne satisfont pas aux conditions restrictives posées par la pratique et la jurisprudence pour la reconnaissance d'une situation d'extrême gravité au sens de l'art. 30 al. 1 let. b LEtr. C'est donc à juste titre que l'autorité inférieure a refusé de donner son aval à la délivrance, en faveur des intéressés, d'une autorisation de séjour en dérogation aux conditions d'admission, fondée sur cette disposition.</w:t>
      </w:r>
    </w:p>
    <w:p>
      <w:r>
        <w:rPr>
          <w:b/>
        </w:rPr>
        <w:t>E. 8.1</w:t>
      </w:r>
    </w:p>
    <w:p>
      <w:r>
        <w:t>Les recourants ne pouvant prétendre à la délivrance d'un titre de séjour, c'est également à juste titre que l'autorité intimée a prononcé leur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8.2</w:t>
      </w:r>
    </w:p>
    <w:p>
      <w:r>
        <w:t>Les intéressés n'ont par ailleurs pas démontré l'existence d'obstacles à leur retour en Ukraine et le dossier ne fait pas apparaître que l'exécution du renvoi serait illicite, inexigible ou impossible au sens de l'art. 83 al. 2 à 4 LEtr, de sorte que c'est à bon droit que l'autorité intimée a ordonné l'exécution de cette mesure. Certes, les intéressés ont mis en avant la situation régnant en Ukraine. Le Tribunal doit cependant constater qu'il s'est à maintes reprises prononcé sur la situation régnant dans cet Etat depuis la signature des accords de « Minsk II », parvenant à la conclusion que l'Ukraine ne connaît pas, sur l'ensemble de son territoire, une situation de guerre, de guerre civile ou de violence généralisée qui permettrait d'emblée et indépendamment des circonstances du cas d'espèce de présumer un risque, pour tous ses ressortissants, de mise en danger concrète. En l'espèce, il n'existe aucun motif objectif de s'écarter de cette analyse. 9.Il ressort de ce qui précède que, par sa décision du 5 mai 2017, l'autorité intimée n'a ni violé le droit fédéral, ni constaté des faits pertinents de manière inexacte ou incomplète; en outre, la décision attaquée n'est pas inopportune (cf. art. 49 PA). Le recours est en conséquence rejeté.</w:t>
      </w:r>
    </w:p>
    <w:p>
      <w:r>
        <w:rPr>
          <w:b/>
        </w:rPr>
        <w:t>E. 9.1</w:t>
      </w:r>
    </w:p>
    <w:p>
      <w:r>
        <w:t>Compte tenu de l'issue de la cause, il y aurait lieu de mettre des frais réduits de procédure à la charge des recourants, lesquels sont toutefois dispensés de ces frais, dès lors qu'ils ont été mis au bénéfice de l'assistance judiciaire totale par décision du Tribunal du 15 septembre 2017. Faute de note d'honoraires produite par le mandataire, le Tribunal est fondé à estimer ses honoraires globaux, au vu de l'ensemble des circonstances du cas et du travail accompli par le mandataire, à 1'200 francs. Vu l'issue du litige, les recourants ont l'obligation de rembourser ce montant s'ils reviennent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