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F-3294/2025 vom 16. Juli 2025</w:t>
      </w:r>
    </w:p>
    <w:p>
      <w:r>
        <w:t>Bundesverwaltungsgericht, 2025-07-16, DE</w:t>
      </w:r>
    </w:p>
    <w:p>
      <w:r>
        <w:rPr>
          <w:b/>
        </w:rPr>
        <w:t xml:space="preserve">Quelle: </w:t>
      </w:r>
      <w:r>
        <w:t>https://mcp.opencaselaw.ch/entscheid/bvger_F-3294_2025</w:t>
      </w:r>
    </w:p>
    <w:p>
      <w:r>
        <w:t>FR: TAF F-3294/2025 du 16 juillet 2025</w:t>
      </w:r>
    </w:p>
    <w:p>
      <w:r>
        <w:t>IT: TAF F-3294/2025 del 16 luglio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w:t>
      </w:r>
    </w:p>
    <w:p>
      <w:r>
        <w:t>F-3294/2025 Seite 3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aktuell geltender Rechtsprechung begründet Art. 26 FK für Flüchtlinge daher einen Anspruch auf Kantonszuweisung bezie- hungsweise -wechsel in gleichem Umfang, wie er einer niedergelassenen Person gestützt auf Art. 37 Abs. 3 AIG zusteht (vgl. BVGE 2012/2 E. 5.2.2; Urteile des BVGer F-7357/2024 vom 6. Januar 2025 E. 2.2; F-7070/2024 vom 26. November 2024 E. 2.2; F-1642/2024 vom 16. Mai 2024 E. 3.1; F- 724/2020 vom 30. September 2022 E. 4.2.1; F-6485/2020 vom 10. August 2022 E. 3.2; SEM, Handbuch Asyl und Rückkehr, Artikel F6, Die Gesuche um Kantonswechsel, Ziff. 2.3, S. 9 ff., &lt; https://www.sem.admin.ch/sem /de/home/asyl/asylverfahren/nationale-verfahren/handbuch-asyl-rueck- kehr.html &gt;, abgerufen am 20.01.2025; CONSTANTIN HRUSCHKA, in: Marc Spescha et al. [Hrsg.], OFK Migrationsrecht, 5. Aufl. 2019, Art. 27 AsylG N. 7; WALTER STÖCKLI, Flüchtlinge und Schutzbedürftige, in: Peter Uebersax et al. [Hrsg.], Handbuch Ausländerrecht, 3. Aufl. 2022 [nachfol- gend: Handbuch Ausländerrecht], Rz. 14.100 f. und Rz. 14.141;</w:t>
      </w:r>
    </w:p>
    <w:p>
      <w:r>
        <w:t>F-3294/2025 Seite 4 Schweizerische Flüchtlingshilfe SFH [Hrsg.], Handbuch zum Asyl- und Wegweisungsverfahren, 3. Aufl. 2021, S. 489).</w:t>
      </w:r>
    </w:p>
    <w:p>
      <w:r>
        <w:rPr>
          <w:b/>
        </w:rPr>
        <w:t>E. 2.3</w:t>
      </w:r>
    </w:p>
    <w:p>
      <w:r>
        <w:t>Nachdem die Vorinstanz dem Beschwerdeführer am 25. April 2025 die Flüchtlingseigenschaft zuerkannte, hat dieser grundsätzlich Anspruch auf Wahl seines Aufenthaltsorts und Zuweisung in den von ihm anbegehrten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des Beschwerdeführers als Flüchtling und seinen Anspruch auf Zuweisung in den anbegehrten Kanton nicht aus- einandergesetzt. Ausserdem hat sie nicht geprüft, ob einer Zuweisung des Beschwerdeführers in den Kanton C._______ Widerrufsgründe im Sinne von Art. 63 AIG entgegenstehen könnten. Insoweit erweist sich der Sach- verhalt als unvollständig abgeklärt und der Untersuchungsgrundsatz ist verletzt (Art. 6 AsylG i.V.m. Art. 12 VwVG; Art. 49 Bst. b VwVG; jüngst statt vieler Urteil des BVGer F-4372/2025 vom 8. Juli 2025 E. 2 m.w.H.).</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der Beschwerdeführer nicht auf die nachträgliche Stellung eines Kantonswech- selgesuchs verwiesen werden, denn entweder kann er gestützt auf Art. 26 FK seinen Aufenthaltsort wählen, oder nicht (vgl. E. 2.2 hiervor so- wie Art. 60 Abs. 1 AsylG). Dispositiv-Ziffer 3 der angefochtenen Verfügung ist deshalb aufzuheben und die Sache zur vollständigen und richtigen Sachverhaltsabklärung im Sinne der Erwägungen sowie zu neuer Ent- scheidung an die Vorinstanz zurückzuweisen. Diese wird insbesondere ab- zuklären haben, ob einer Zuweisung des Beschwerdeführers in den Kan- ton Bern Widerrufsgründe im Sinne von Art. 63 AIG entgegenstehen. Er- forderlichenfalls wird sie den betroffenen Aufenthalts- und Zuzugskanton zu einer Stellungnahme betreffend Widerrufsgründe auffordern (vgl. auch SEM, Handbuch Asyl und Rückkehr, Artikel F6, Die Gesuche um Kantons- wechsel, Ziff. 2.3.4, S. 10 f.).</w:t>
      </w:r>
    </w:p>
    <w:p>
      <w:r>
        <w:t>F-3294/2025 Seite 5</w:t>
      </w:r>
    </w:p>
    <w:p>
      <w:r>
        <w:rPr>
          <w:b/>
        </w:rPr>
        <w:t>E. 3</w:t>
      </w:r>
    </w:p>
    <w:p>
      <w:r>
        <w:t>Die Beschwerde ist gutzuheissen. Dispositiv-Ziffer 3 der angefochtenen Verfügung vom 25. April 2025 ist aufzuheben und die Sache zur vollstän- digen und richtigen Sachverhaltsabklärung im Sinne der Erwägungen so- wie zur neuen Entscheidung an die Vorinstanz zurückzuweisen.</w:t>
      </w:r>
    </w:p>
    <w:p>
      <w:r>
        <w:rPr>
          <w:b/>
        </w:rPr>
        <w:t>E. 4.1</w:t>
      </w:r>
    </w:p>
    <w:p>
      <w:r>
        <w:t>Entsprechend dem Verfahrensausgang sind keine Kosten zu erheben (Art. 63 Abs. 1 und 2 VwVG). Die Gesuche um unentgeltliche Prozessfüh- rung (Art. 65 Abs. 1 VwVG) und Verzicht auf Erhebung eines Kostenvor- schusses sind gegenstandslos geworden.</w:t>
      </w:r>
    </w:p>
    <w:p>
      <w:r>
        <w:rPr>
          <w:b/>
        </w:rPr>
        <w:t>E. 4.2</w:t>
      </w:r>
    </w:p>
    <w:p>
      <w:r>
        <w:t>Die Rechtsvertretung macht geltend, es sei eine Parteientschädigung auszurichten. Vorliegend handelt es sich um eine zugewiesene unentgelt- liche Rechtsvertretung im Sinne von Art. 102h AsylG, deren Leistungen vom Bund nach Massgabe von Art. 102k AsylG entschädigt werden (vgl. auch Art. 111ater AsylG). Die Leistungen der Rechtsvertretung sind vorlie- gend durch die vom Bund ausgerichtete Pauschale abgegolten (vgl. jüngst einlässlich dazu Urteile des BVGer F-4119/2025 vom 14. Juli 2025 E. 6.2; F-4127/2025 vom 14. Juli 2025 E. 6.2). Eine Parteientschädigung ist nicht auszurichten.</w:t>
      </w:r>
    </w:p>
    <w:p>
      <w:r>
        <w:rPr>
          <w:b/>
        </w:rPr>
        <w:t>E. 5</w:t>
      </w:r>
    </w:p>
    <w:p>
      <w:r>
        <w:t>Dieses Urteil ist endgültig (Art. 83 Bst. d Ziff. 1 BGG; vgl. Urteil des BGer 2C_610/2024 vom 4. Dezember 2024 E. 2 f.). (Dispositiv: nachfolgende Seite)</w:t>
      </w:r>
    </w:p>
    <w:p>
      <w:r>
        <w:t>F-3294/2025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