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F-3283/2022 vom 5. September 2023</w:t>
      </w:r>
    </w:p>
    <w:p>
      <w:r>
        <w:t>Bundesverwaltungsgericht, 2023-09-05, FR</w:t>
      </w:r>
    </w:p>
    <w:p>
      <w:r>
        <w:rPr>
          <w:b/>
        </w:rPr>
        <w:t xml:space="preserve">Quelle: </w:t>
      </w:r>
      <w:r>
        <w:t>https://mcp.opencaselaw.ch/entscheid/bvger_F-3283_2022</w:t>
      </w:r>
    </w:p>
    <w:p>
      <w:r>
        <w:t>FR: TAF F-3283/2022 du 5 septembre 2023</w:t>
      </w:r>
    </w:p>
    <w:p>
      <w:r>
        <w:t>IT: TAF F-3283/2022 del 5 settembre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la prolongation d'une autorisation de séjour et de renvoi prononcées par le SEM - lequel constitue une unité de l'administration fédérale selon l'art. 33 let. d LTAF - sont susceptibles de recours au Tribunal qui statue, en l'occurrence,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Selon l'art. 99 LEI (RS :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sur la base de l'art. 85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du SPOP du 20 octobre 2021 de prolonger l'autorisation de séjour de l'intéressé et peuvent parfaitement s'écarter de l'appréciation de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ex-épouse depuis le 1er octobre 2020, il ne peut plus se prévaloir d'un droit à une autorisation de séjour au titre du regroupement familial fondé sur l'art. 42 LEI (cf. ATF 141 II 169 consid. 5.2.1 ; arrêt du TF 2C_400/2019 du 8 août 2019 consid. 3). Il convient dès lors d'examiner s'il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cumulatives (cf. ATF 140 II 345 consid. 4 ; arrêt du TF 2C_531/2022 du 12 mai 2023 consid. 4.1 s.). La période minimale de trois ans de l'union conjugale commence à courir dès le début de la cohabitation effective des époux en Suisse et s'achève, en principe, au moment où ceux-ci cessent de faire ménage commun (cf. ATF 140 II 345 consid. 4.1). En l'occurrence, le recourant est entré en Suisse le 6 décembre 2019, s'est marié le 6 janvier 2020 et s'est séparé de son ex-épouse le 1er octobre 2020. Ils ont ainsi comptabilisé moins d'un an d'union conjugale, de sorte que l'intéressé ne peut pas prétendre à la prolongation de son autorisation de séjour sur la base de l'art. 50 al. 1 let. a LEI.</w:t>
      </w:r>
    </w:p>
    <w:p>
      <w:r>
        <w:rPr>
          <w:b/>
        </w:rPr>
        <w:t>E. 5.1</w:t>
      </w:r>
    </w:p>
    <w:p>
      <w:r>
        <w:t>Le législateur a également prévu un droit à la prolongation de l'autorisation de séjour si la poursuite du séjour en Suisse s'impose pour des « raisons personnelles majeures » (art. 50 al. 1 let. b LEI). Elles sont notamment données lorsque le conjoint est victime de violences conjugales, que le mariage a été conclu en violation de la libre volonté d'un des époux ou que la réintégration dans le pays de provenance semble fortement compromise (cf. également l'art. 77 al. 2 OASA).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ATAF 2018 VII/3 consid. 5.2).</w:t>
      </w:r>
    </w:p>
    <w:p>
      <w:r>
        <w:rPr>
          <w:b/>
        </w:rPr>
        <w:t>E. 5.2</w:t>
      </w:r>
    </w:p>
    <w:p>
      <w:r>
        <w:t>Dans ce contexte, il y a également lieu de tenir compte du droit au respect de la vie familiale, garanti par l'art. 8 CEDH (RS 0.101). Une raison personnelle majeure peut en effet, en particulier, découler d'une relation digne de protection avec un enfant qui a le droit de séjourner en Suisse.</w:t>
      </w:r>
    </w:p>
    <w:p>
      <w:r>
        <w:rPr>
          <w:b/>
        </w:rPr>
        <w:t>E. 5.2.1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Il n'est en principe pas nécessaire que, dans l'optique de pouvoir exercer son droit de visite, le parent étranger soit habilité à résider durablement dans le même pays que son enfant (ATF 144 I 91 consid. 5.1 ; arrêt du TF 2C_404/2022 du 4 août 2022 consid. 7.4).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144 I 91 consid. 5.1 ; arrêt du TF 2C_411/2022 du4 août 2022 consid. 5.3).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(ATF 144 I 91 consid. 5.2). Dans le cadre de l'examen de la proportionnalité (art. 8 par. 2 CEDH), il faut aussi tenir compte de l'intérêt fondamental de l'enfant (art. 3 de la Convention du 20 novembre 1989 relative aux droits de l'enfant [CDE, RS 0.107]) à pouvoir grandir en jouissant d'un contact étroit avec ses deux parents (ATF 144 I 91 consid. 5.2 ; 143 I 21 consid. 5.5.1). Sous l'angle du droit des étrangers, cet élément n'est toutefois pas prépondérant par rapport à d'autres et l'art. 3 CDE ne fonde pas de prétention directe à l'octroi ou au maintien d'une autorisation (ATF 144 I 91 consid. 5.2 ; 140 I 145 consid. 3.2).</w:t>
      </w:r>
    </w:p>
    <w:p>
      <w:r>
        <w:rPr>
          <w:b/>
        </w:rPr>
        <w:t>E. 5.2.2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(ATF 144 I 91 consid. 5.2.1).</w:t>
      </w:r>
    </w:p>
    <w:p>
      <w:r>
        <w:rPr>
          <w:b/>
        </w:rPr>
        <w:t>E. 5.2.3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w:t>
      </w:r>
    </w:p>
    <w:p>
      <w:r>
        <w:rPr>
          <w:b/>
        </w:rPr>
        <w:t>E. 5.2.4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à plus forte raison lorsqu'une garde partagée a été instaurée et est effectivement exercée (arrêt du TF 2C_606/2013 du 4 avril 2014 consid. 6).</w:t>
      </w:r>
    </w:p>
    <w:p>
      <w:r>
        <w:rPr>
          <w:b/>
        </w:rPr>
        <w:t>E. 5.2.5</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jurisp. cit.).</w:t>
      </w:r>
    </w:p>
    <w:p>
      <w:r>
        <w:rPr>
          <w:b/>
        </w:rPr>
        <w:t>E. 5.2.6</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2C_385/2014 du 19 janvier 2015 consid. 5.2.1; arrêts du TAF F-2681/2016 du 28 mars 2018 consid. 5.2 et F-52/2016 du 6 mars 2017 consid. 7.2.2.2).</w:t>
      </w:r>
    </w:p>
    <w:p>
      <w:r>
        <w:rPr>
          <w:b/>
        </w:rPr>
        <w:t>E. 5.3</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144 I 266 consid. 3.9 ; arrêts du TF 2C_100/2023 du 20 juin 2023 consid. 1.3 ; 2C_734/2022 du 3 mai 2023 consid. 5.3.1).</w:t>
      </w:r>
    </w:p>
    <w:p>
      <w:r>
        <w:rPr>
          <w:b/>
        </w:rPr>
        <w:t>E. 6.1</w:t>
      </w:r>
    </w:p>
    <w:p>
      <w:r>
        <w:t>En l'occurrence, il ressort du jugement de divorce du 11 mai 2021 que le recourant exerce conjointement l'autorité parentale sur sa fille, la garde sur celle-ci étant confiée à sa mère, et qu'il a le droit d'accueillir sa fille à raison d'un week-end sur deux, du vendredi soir au dimanche soir, et de la moitié des vacances scolaires, soit sept semaines réparties sur les vacances d'été, d'automne, de Noël, de février et de Pâques. Compte tenu de sa situation financière, le jugement de divorce constate que le recourant n'est pas en mesure de verser une contribution d'entretien en faveur de sa fille. Cela étant, il s'agit de vérifier si l'intéressé exerce effectivement son droit de visite (ATF 144 I 91 consid. 5.2.1 et 5.2.2 ; arrêt du TF 2C_404/2022 du 4 août 2022 consid. 7.4.1 et 7.4.2).</w:t>
      </w:r>
    </w:p>
    <w:p>
      <w:r>
        <w:rPr>
          <w:b/>
        </w:rPr>
        <w:t>E. 6.2.1</w:t>
      </w:r>
    </w:p>
    <w:p>
      <w:r>
        <w:t>S'agissant des liens affectifs, le recourant a allégué avoir établi des liens très forts avec sa fille, ressentir beaucoup d'amour pour elle et réussir à la voir tous les week-ends ou toutes les deux semaines. Il a également mentionné que sa fille lui était très attachée, qu'il avait souhaité l'emmener en vacances mais que son ex-épouse s'y était opposée et a produit deux courriers, émanant d'un ami et d'un cousin, attestant des soins qu'il portait à sa fille, ainsi que de nombreuses photos de celle-ci.</w:t>
      </w:r>
    </w:p>
    <w:p>
      <w:r>
        <w:rPr>
          <w:b/>
        </w:rPr>
        <w:t>E. 6.2.2</w:t>
      </w:r>
    </w:p>
    <w:p>
      <w:r>
        <w:t>L'ex-épouse du recourant s'est exprimée à plusieurs reprises par-devant le SEM et le Tribunal, tout en refusant que ses courriers soient communiqués à son ex-époux. Interpellée à ce sujet, elle a finalement consenti à ce qu'un résumé de ses propos soit transmis au recourant (cf. art. 28 PA), en ce sens qu'il soit informé qu'elle avait signalé qu'il ne prenait pas régulièrement sa fille lors de son droit de visite et qu'il ne versait pas de contribution d'entretien, même minime, de manière régulière. Ces déclarations ont toutefois été contestées par le recourant dans sa dernière détermination.</w:t>
      </w:r>
    </w:p>
    <w:p>
      <w:r>
        <w:rPr>
          <w:b/>
        </w:rPr>
        <w:t>E. 6.2.3</w:t>
      </w:r>
    </w:p>
    <w:p>
      <w:r>
        <w:t>Par ailleurs, il ressort des procès-verbaux des auditions administratives du 10 août 2021 que, à cette date, le recourant ne s'occupait que rarement de sa fille et qu'il ne la gardait jamais chez lui le week-end, les deux parties rejetant mutuellement la raison de cette situation sur l'autre.</w:t>
      </w:r>
    </w:p>
    <w:p>
      <w:r>
        <w:rPr>
          <w:b/>
        </w:rPr>
        <w:t>E. 6.2.4</w:t>
      </w:r>
    </w:p>
    <w:p>
      <w:r>
        <w:t>En l'état, le Tribunal constate que le recourant ne parvient pas à démontrer s'occuper régulièrement de sa fille et entretenir avec celle-ci des liens affectifs étroits. En effet, outre deux attestations - très vagues et sujettes à caution - de son cousin et d'un ami proche, le recourant a uniquement produit des photos de sa fille, sans que celles-ci ne soient à même de démontrer la fréquence et la régularité des contacts entre le père et son enfant. Par ailleurs, le Tribunal ne saurait faire abstraction du témoignage de l'ex-épouse du recourant, quand bien même celui-ci doit être apprécié avec retenue compte tenu du contentieux liant manifestement les deux parties. Les déclarations de l'ex-épouse sont, de plus, à tout le moins partiellement corroborées par les procès-verbaux du 10 août 2021. Dès lors, le Tribunal considère que l'intéressé n'est pas parvenu à établir à satisfaction de droit qu'il entretiendrait effectivement des contacts réguliers avec sa fille, à tout le moins dans la mesure prévue par le jugement de divorce. Or, en vertu du fardeau de la preuve (cf. art. 8 CC), il incombait à celui-ci d'apporter dites preuves. Il ne peut dès lors se prévaloir d'un lien affectif particulièrement étroit avec sa fille.</w:t>
      </w:r>
    </w:p>
    <w:p>
      <w:r>
        <w:rPr>
          <w:b/>
        </w:rPr>
        <w:t>E. 6.3</w:t>
      </w:r>
    </w:p>
    <w:p>
      <w:r>
        <w:t>Par ailleurs, sur le plan économique, le recourant, lequel a débuté à l'automne 2022 sa formation en vue d'obtenir un Bachelor of Science HES-SO en Ingénierie et gestion industrielles, est au bénéfice du revenu d'insertion et ne réalise pas de revenu. Il a toutefois indiqué avoir versé plusieurs fois de l'argent dans la boîte aux lettres de son ex-compagne, tout comme s'être acquitté des différents achats en faveur de sa fille (vêtements, chaussures, etc.). Cela étant, en sus des déclarations de son ex-épouse en sens contraire, il n'indique et ne prouve en rien la fréquence de tels versements et achats, dont la régularité peut être mise en doute, le recourant étant actuellement en formation et au bénéfice du revenu d'insertion depuis le 1er octobre 2020. Quoi qu'il en soit, cet élément ne sera pas retenu contre le recourant, dans la mesure où le jugement de divorce l'a affranchi du devoir de contribuer à l'entretien de sa fille en l'état.</w:t>
      </w:r>
    </w:p>
    <w:p>
      <w:r>
        <w:rPr>
          <w:b/>
        </w:rPr>
        <w:t>E. 6.4</w:t>
      </w:r>
    </w:p>
    <w:p>
      <w:r>
        <w:t>Quant aux possibilités de maintenir la relation du recourant avec sa fille, il y a lieu d'admettre que celle-ci sera compliquée par la distance, en particulier compte tenu de l'âge de la fille du recourant, celle-ci n'étant âgée que de trois ans. En cas de départ du pays, il se verra ainsi contraint de réorganiser ses contacts avec sa fille afin de maintenir et d'entretenir leur relation par d'autres moyens, comme par exemple des séjours touristiques, des vidéo-conférences, des téléphones, des lettres ou tout autres moyens électroniques. Cela étant, il ressort du dossier que l'ex-épouse du recourant s'est déjà rendue plusieurs fois en Bosnie-Herzégovine pour les vacances et qu'elle y a également de la famille, de sorte que des visites pourraient avoir lieu, tant en Suisse - lors de visites ponctuelles - que dans le pays d'origine du recourant. La Bosnie-Herzégovine n'est, en outre, pas très éloignée géographiquement de la Suisse et des moyens de liaison, par exemple par avion ou par autocar, existent entre les deux pays.</w:t>
      </w:r>
    </w:p>
    <w:p>
      <w:r>
        <w:rPr>
          <w:b/>
        </w:rPr>
        <w:t>E. 6.5</w:t>
      </w:r>
    </w:p>
    <w:p>
      <w:r>
        <w:t>S'agissant ensuite du comportement du recourant en Suisse, celui-ci a été condamné, par ordonnance pénale du Ministère public de l'arrondissement de Lausanne du 22 juin 2021, à une peine privative de liberté de 160 jours et à une peine pécuniaire de 20 jours-amende, toutes deux avec sursis pendant deux ans, pour lésions corporelles simples sur le conjoint, voies de fait sur le conjoint, injure et menaces sur le conjoint. Cette ordonnance pénale, non contestée, est entrée en force. Cela étant, malgré l'absence d'opposition à l'ordonnance pénale, le recourant conteste s'être livré aux actes pour lesquels il a été condamné, que ce soit lors de son audition par-devant le SPOP ou dans le cadre de son mémoire de recours. En tout état de cause toutefois, rien ne permet de s'écarter des faits et de l'appréciation pénale retenus dans l'ordonnance pénale précitée. A cet égard, le recourant ne fait du reste valoir aucun élément propre à remettre en cause dite ordonnance, se contentant d'exposer sa version des faits et de rappeler ne pas avoir été assisté, éléments ne suffisant pas pour remettre en cause une ordonnance pénale entrée en force. Dès lors, le Tribunal constate que le recourant a fait l'objet d'une condamnation pénale en 2021 pour diverses infractions dans un contexte de violence domestique, ce qui constitue un trouble à l'ordre public de manière générale. Dès lors, son comportement ne saurait être qualifié d'irréprochable.</w:t>
      </w:r>
    </w:p>
    <w:p>
      <w:r>
        <w:rPr>
          <w:b/>
        </w:rPr>
        <w:t>E. 6.6</w:t>
      </w:r>
    </w:p>
    <w:p>
      <w:r>
        <w:t>Il s'agit ainsi de déterminer, dans le cadre d'une pesée globale des intérêts en présence (art. 8 par. 2 CEDH en lien avec l'art. 96 LEI) et au regard de l'intérêt supérieur de l'enfant (cf. art. 3 CDE), si la situation actuelle de l'intéressé justifie la non prolongation de son autorisation de séjour.</w:t>
      </w:r>
    </w:p>
    <w:p>
      <w:r>
        <w:rPr>
          <w:b/>
        </w:rPr>
        <w:t>E. 6.6.1</w:t>
      </w:r>
    </w:p>
    <w:p>
      <w:r>
        <w:t>Sous l'angle de l'intérêt public à l'éloignement du recourant, on notera que celui-ci a été condamné pour des actes de violences à l'encontre de son ex-épouse durant le mariage, y compris durant la période où elle était enceinte et durant les premiers mois de vie de sa fille. Par ailleurs, bien que cette condamnation soit entrée en force et qu'aucun élément, au dossier ou soulevé par le recourant, ne soit propre à la remettre en cause, le recourant continue à nier avoir commis les actes qui lui ont été reprochés, n'assumant ainsi en rien son comportement. L'intéressé, qui a commencé une nouvelle formation depuis le semestre d'automne 2022, n'a jamais travaillé depuis son arrivée en Suisse en décembre 2019 et bénéficie de l'aide sociale, depuis le 1er novembre 2019 par le biais de son ex-épouse, puis seul à compter du 1er octobre 2020. Il y a donc un intérêt public important à son éloignement de Suisse.</w:t>
      </w:r>
    </w:p>
    <w:p>
      <w:r>
        <w:rPr>
          <w:b/>
        </w:rPr>
        <w:t>E. 6.6.2</w:t>
      </w:r>
    </w:p>
    <w:p>
      <w:r>
        <w:t>Quant à l'intérêt privé, bien que le recourant affirme entretenir des liens étroits avec sa fille, l'intensité de cette relation n'est toutefois pas établie à satisfaction (cf. supra consid. 6.2). Par ailleurs, l'intéressé ne revendique aucune autre attache avec la Suisse, reconnaissant lui-même que, sans son enfant, il n'aurait aucune connexion avec la Suisse et pourrait retourner vivre sans difficulté en Bosnie-Herzégovine.</w:t>
      </w:r>
    </w:p>
    <w:p>
      <w:r>
        <w:rPr>
          <w:b/>
        </w:rPr>
        <w:t>E. 6.6.3</w:t>
      </w:r>
    </w:p>
    <w:p>
      <w:r>
        <w:t>Sous un angle plus général, on relèvera que le recourant séjourne en Suisse depuis un peu moins de quatre ans et qu'il n'a pas démontré d'intégration particulière. Dès lors, il ne peut se prévaloir de la protection de la vie privée au sens de l'art. 8 par. 1 CEDH du fait de la durée de son séjour.</w:t>
      </w:r>
    </w:p>
    <w:p>
      <w:r>
        <w:rPr>
          <w:b/>
        </w:rPr>
        <w:t>E. 6.6.4</w:t>
      </w:r>
    </w:p>
    <w:p>
      <w:r>
        <w:t>En définitive, fondé sur une appréciation globale du dossier, le Tribunal considère que l'intérêt public à l'éloignement du recourant est prépondérant, compte tenu du manque d'effectivité démontrée de sa relation avec sa fille et de son absence d'intégration. Ainsi, sans ignorer le fait que le maintien de contacts réguliers avec sa fille sera compliqué par la distance, il peut être attendu de l'intéressé, circonstances concrètes telles que détaillées dans les considérants ci-dessus, qu'il y procède en faisant usage des moyens de communication modernes et de visites ponctuelles en Suisse. C'est donc de manière justifiée que l'autorité inférieure a refusé d'approuver la prolongation de l'autorisation de séjour du recourant.</w:t>
      </w:r>
    </w:p>
    <w:p>
      <w:r>
        <w:rPr>
          <w:b/>
        </w:rPr>
        <w:t>E. 7</w:t>
      </w:r>
    </w:p>
    <w:p>
      <w:r>
        <w:t>Dans la mesure où l'intéressé n'obtient pas la prolongation de son autorisation de séjour, c'est à bon droit que l'autorité inférieure a prononcé son renvoi de Suisse, conformément à l'art. 64 al. 1 let. c LEI. En outre, l'intéressé n'a pas démontré l'existence d'obstacles à son renvoi en Bosnie-Herzégovine et le dossier ne fait pas apparaître que l'exécution du renvoi serait illicite, inexigible ou impossible au sens de l'art. 83 al. 2 à 4 LEI, ce d'autant moins que sa mère et ses frères et soeurs vivent toujours au pays et que lui-même y a séjourné jusqu'à l'âge de 26 ans avant de venir en Suisse. Ainsi, c'est à juste titre que l'instance inférieure a ordonné le renvoi de l'intéressé de Suisse.</w:t>
      </w:r>
    </w:p>
    <w:p>
      <w:r>
        <w:rPr>
          <w:b/>
        </w:rPr>
        <w:t>E. 8</w:t>
      </w:r>
    </w:p>
    <w:p>
      <w:r>
        <w:t>Il s'ensuit que, par sa décision du 27 juin 2022, l'autorité inférieure n'a ni violé le droit fédéral, ni constaté les faits pertinents de manière inexacte ou incomplète. En outre, cette décision n'est pas inopportune (art. 49 PA). Le recours est, partant, rejeté.</w:t>
      </w:r>
    </w:p>
    <w:p>
      <w:r>
        <w:rPr>
          <w:b/>
        </w:rPr>
        <w:t>E. 9.1</w:t>
      </w:r>
    </w:p>
    <w:p>
      <w:r>
        <w:t>Au vu de l'issue de la cause, il y aurait lieu de mettre des frais de procédure à la charge du recourant (art. 63 al. 1 PA). Ce dernier ayant toutefois été mis au bénéfice de l'assistance judiciaire partielle par décision incidente du 11 août 2022, il ne sera pas perçu de frais de procédure.</w:t>
      </w:r>
    </w:p>
    <w:p>
      <w:r>
        <w:rPr>
          <w:b/>
        </w:rPr>
        <w:t>E. 9.2</w:t>
      </w:r>
    </w:p>
    <w:p>
      <w:r>
        <w:t>Compte tenu de l'issue du recours, il n'est pas alloué de dépens (cf. art. 64 al. 1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