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F-3271/2017 vom 29. Oktober 2018</w:t>
      </w:r>
    </w:p>
    <w:p>
      <w:r>
        <w:t>Bundesverwaltungsgericht, 2018-10-29, FR</w:t>
      </w:r>
    </w:p>
    <w:p>
      <w:r>
        <w:rPr>
          <w:b/>
        </w:rPr>
        <w:t xml:space="preserve">Quelle: </w:t>
      </w:r>
      <w:r>
        <w:t>https://mcp.opencaselaw.ch/entscheid/bvger_F-3271_2017</w:t>
      </w:r>
    </w:p>
    <w:p>
      <w:r>
        <w:t>FR: TAF F-3271/2017 du 29 octobre 2018</w:t>
      </w:r>
    </w:p>
    <w:p>
      <w:r>
        <w:t>IT: TAF F-3271/2017 del 29 ottobre 2018</w:t>
      </w:r>
    </w:p>
    <w:p>
      <w:pPr>
        <w:pStyle w:val="Heading2"/>
      </w:pPr>
      <w:r>
        <w:t>Regeste</w:t>
      </w:r>
    </w:p>
    <w:p>
      <w:r>
        <w:t>Regroupement familial</w:t>
      </w:r>
    </w:p>
    <w:p>
      <w:pPr>
        <w:pStyle w:val="Heading2"/>
      </w:pPr>
      <w:r>
        <w:t>Erwägungen</w:t>
      </w:r>
    </w:p>
    <w:p>
      <w:r>
        <w:rPr>
          <w:b/>
        </w:rPr>
        <w:t>E. 8</w:t>
      </w:r>
    </w:p>
    <w:p>
      <w:r>
        <w:t>Les recourants ont allégué, en préambule, que la décision du SEM consacrait une violation de l'art. 47 al. 4 in fine LEtr, au motif que les recourants 2 et 3 n'avaient pas été entendus dans le cadre de la procédure devant l'autorité de première instance. L'art. 47 al. 4 in fine LEtr dispose à cet égard que, dans le cas d'une demande de regroupement familial différé, les enfants de plus de 14 ans sont entendus, si nécessaire. Dans le cas d'espèce, le Tribunal est amené à considérer qu'il ne saurait être reproché au SEM d'avoir prononcé sa décision sans que les recourants 2 et 3 aient été préalablement entendus. Il s'impose de constater en effet que leurs conditions de vie et les motifs de leur demande de regroupement familial ont été exposés de manière circonstanciées dans les multiples écritures (courriers et courriels) échangés entre la recourante 1 et les autorités cantonales, si bien que le SEM était fondé à considérer que l'audition des intéressés n'était pas nécessaire au sens de l'art. 47 al. 4 in fine LEtr et qu'il a été amené à statuer sur cette requête en pleine connaissance de la situation des intéressés. Le Tribunal constate en outre que les recourants 2 et 3 ont par la suite versé des déclarations écrites au dossier de recours, dans lesquelles ils ont à nouveau évoqué leurs conditions de vie au Vietnam et les motifs fondant leur désir de rejoindre leur mère en Suisse Du moment que les intéressés ont pu ainsi faire entendre leur avis, le Tribunal considère qu'ils ont exercé leur droit d'être entendu et qu'il n'y a ainsi pas lieu d'ordonner leur audition au sens de la disposition précitée (cf. notamment arrêt du TF 2C_1085/2012 du 12 novembre 2012 consid. 4.3).</w:t>
      </w:r>
    </w:p>
    <w:p>
      <w:r>
        <w:rPr>
          <w:b/>
        </w:rPr>
        <w:t>E. 9.1</w:t>
      </w:r>
    </w:p>
    <w:p>
      <w:r>
        <w:t>Concernant les conditions de délai auxquelles sont soumises les demandes de regroupement familial au sens de l'art. 47 LEtr, le Tribunal constate que c'est à bon droit que le SEM a considéré que la demande de regroupement familial déposée le 21 novembre 2014 était tardive, aussi bien pour le recourant 2, que pour la recourante 3. S'agissant du recourant 2, âgé de plus de 12 ans le 12 août 2011, date à partir de laquelle le délai de l'art. 47 al. 1 LEtr a commencé à courir, la demande de regroupement familial aurait dû être déposée dans un délai de 12 mois, lequel est arrivé à échéance le 11 août 2012. S'agissant de la recourante 3, âgée de moins de 12 ans le 12 août 2011, le délai de l'art. 47 al. 1 LEtr a commencé à courir aussitôt qu'elle a atteint l'âge de 12 ans (soit le 24 septembre 2013) et ce délai est ainsi arrivé à échéance le 23 septembre 2014. Il convient de relever à ce propos que l'argumentation selon laquelle la recourante 1 n'avait pas été informée de l'existence de délais légaux pour le dépôt d'une demande de regroupement familial n'est pas pertinente. Il appartenait en effet à l'intéressée de solliciter elle-même les informations nécessaires à ce sujet auprès des autorités compétentes et celle-ci ne pouvait se retrancher derrière son ignorance des conditions légales applicables pour se soustraire aux conditions de délai de l'art. 47 al. 1 à 3 LEtr. Il ressort au demeurant des explications fournies par la recourante 1 que celle-ci a volontairement différé la demande de regroupement familial, afin de s'intégrer d'abord en Suisse et que, dans ces circonstances, le dépôt tardif de cette requête relève de sa seule responsabilité.</w:t>
      </w:r>
    </w:p>
    <w:p>
      <w:r>
        <w:rPr>
          <w:b/>
        </w:rPr>
        <w:t>E. 9.2</w:t>
      </w:r>
    </w:p>
    <w:p>
      <w:r>
        <w:t>Il apparaît en conséquence que la demande de regroupement familial est tardive aussi bien pour le recourant 2 que pour la recourante 3 et que le regroupement familial ne peut ainsi être autorisé en l'espèce que pour des raisons familiales majeures au sens de l'art. 47 al. 4 LEtr. 10.S'agissant des conditions posées au regroupement familial différé au sens de l'art. 47 al. 4 LEtr, le Tribunal constate qu'il n'a pas été démontré que la prise en charge des recourants 2 et 3 au Vietnam avait subi des changements à ce point importants que leur venue en Suisse corresponde à une nécessité impérative. Le Tribunal rappelle à cet égard que les prénommés ont toujours vécu au Vietnam depuis leur naissance, y ont suivi toute leur scolarité et ont donc passé dans leur pays d'origine les années les plus importantes pour leur développement personnel. Leur venue en Suisse impliquerait l'obligation de s'adapter à un mode de vie différent de celui suivi jusque-là. Un tel changement peut être vécu comme un déracinement et conduire à des problèmes d'intégration, ce d'autant plus que la vie sociale des intéressés s'est jusqu'à présent intégralement déroulée au Vietnam et que leurs connaissances du français demeurent limitées, nonobstant les cours de langue qu'ils ont suivis dans leur pays. Le Tribunal relève en outre que les recourants 2 et 3 ne sont nullement livrés à eux-mêmes dans leur pays, dès lors qu'ils y sont pris en charge par une personne de confiance (soit une ancienne collègue de travail de la recourante 1). Il convient de remarquer au demeurant qu'au vu de leurs âges respectifs, soit 20 ans pour l'un, 17 ans pour l'autre, les intéressés apparaissent en mesure d'envisager une vie de plus en plus indépendante, le premier ayant déjà mis un pied dans la vie active, alors que la seconde poursuit des études. Il y a lieu de souligner enfin que des considérations telles que le souhait de la recourante 1 d'offrir à ses enfants de meilleures possibilités de formation et de meilleures perspectives professionnelles dans un cadre socio-économique plus favorable ne sont pas constitutives de raisons familiales majeures au sens de l'art. 47 al. 4 LEtr. 11.Concernant l'application de l'art. 8 CEDH à la présente cause(cf. consid. 5.3 et 5.4 supra), le Tribunal relève qu'un droit au regroupement familial en faveur d'enfants de personnes bénéficiant d'un droit de présence assuré en Suisse peut découler de cette disposition conventionnelle à condition que les exigences fixées par le droit interne aux art. 43, 44 et 47 LEtr soient respectées (ATF 137 I 284 consid. 1.3). Il convient de tenir compte, dans la pesée des intérêts au sens de l'art. 8 par. 2 CEDH, notamment des exigences auxquelles le droit interne soumet le regroupement familial.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 du TF 2C_969/2017 consid. 3.1). Ainsi, lorsqu'un étranger a lui-même pris la décision de quitter sa famille pour aller vivre dans un autre État, ce dernier Etat ne manque pas d'emblée à ses obligations de respecter la vie familiale s'il n'autorise pas la venue des proches du ressortissant étranger ou qu'il la subordonne à certaines conditions (arrêt du TF 2C_555/2012 du 19 novembre 2012 consid. 2.2; arrêt du TAF C-367/2015 consid. 10.2). La décision querellée ne viole partant pas l'art. 8 CEDH. 12.Le Tribunal relève enfin que les recourants ne sauraient se prévaloir utilement des dispositions de la CDE. Celles-ci ne confèrent en effet aucune prétention directe à l'octroi d'une autorisation de séjour déductible en justice (cf. ATF 140 I 145 consid. 3.2, et la jurisprudence citée; 135 I 153 consid. 2.2.2; 126 II 377 consid. 5 ainsi que l'arrêt du TF 2C_1066/2016 du 31 mars 2017 consid. 4.3), ni a fortiori de droit à la délivrance d'une autorisation d'entrée en Suisse au titre du regroupement familial (cf. Message sur l'adhésion de la Suisse à la Convention de 1989 relative aux droits de l'enfant du 29 juin 1994, FF 1994 V 1 ss, spéc. ad art. 10 CDE, p. 35 et 76). Au demeurant, un grief qui, comme en l'espèce, tend à reprocher au SEM de n'avoir pas suffisamment pris en considération les intérêts des enfants, se confond avec celui tiré de la violation de l'art. 8 CEDH et, partant, d'une prétendue mauvaise pesée des intérêts en présence. 13.Au vu de ce qui précède, le Tribunal estime qu'il n'existe, dans le cas d'espèce, pas de raisons familiales majeures au sens de l'art. 47 al. 4 LEtr et de l'art. 73 al. 3 OASA. En conséquence, par sa décision du 11 mai 2017, l'autorité intimée n'a ni violé le droit fédéral, ni constaté des faits pertinents de manière inexacte ou incomplète; en outre, cette décision n'est pas inopportune (art. 49 PA). En conséquence, le recours est rejeté. 14.Compte tenu de l'issue de la procédure,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Les recourants n'ont, par ailleurs, pas droit à des dépens(art.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