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F-3270/2021 vom 12. November 2021</w:t>
      </w:r>
    </w:p>
    <w:p>
      <w:r>
        <w:t>Bundesverwaltungsgericht, 2021-11-12, FR</w:t>
      </w:r>
    </w:p>
    <w:p>
      <w:r>
        <w:rPr>
          <w:b/>
        </w:rPr>
        <w:t xml:space="preserve">Quelle: </w:t>
      </w:r>
      <w:r>
        <w:t>https://mcp.opencaselaw.ch/entscheid/bvger_F-3270_2021</w:t>
      </w:r>
    </w:p>
    <w:p>
      <w:r>
        <w:t>FR: TAF F-3270/2021 du 12 novembre 2021</w:t>
      </w:r>
    </w:p>
    <w:p>
      <w:r>
        <w:t>IT: TAF F-3270/2021 del 12 novembre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en l'occurrence, définitivement (cf. art. 83 let. c ch. 1 LTF).</w:t>
      </w:r>
    </w:p>
    <w:p>
      <w:r>
        <w:rPr>
          <w:b/>
        </w:rPr>
        <w:t>E. 1.2</w:t>
      </w:r>
    </w:p>
    <w:p>
      <w:r>
        <w:t>A moins que la LTAF n'en dispose autrement, la procédure devant le Tribunal est régie par la PA (cf. art. 37 LTAF).</w:t>
      </w:r>
    </w:p>
    <w:p>
      <w:r>
        <w:rPr>
          <w:b/>
        </w:rPr>
        <w:t>E. 1.3</w:t>
      </w:r>
    </w:p>
    <w:p>
      <w:r>
        <w:t>La recourante a qualité pour recourir (cf. art. 48 al. 1 PA). Présenté dans la forme et dans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Conformément à l'art. 5 al. 1 LEI, l'étranger doit, pour entrer en Suisse,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66abis du Code pénal (CP, RS 311.0) ou 49a ou 49abis du Code pénal militaire du 13 juin 1927 (CPM, RS 321.0). En vertu de l'art. 2 al. 4 LEI, cette disposition sur l'entrée en Suisse n'est applicable que dans la mesure où les Accords d'association à Schengen ne contiennent pas de dispositions divergentes. S'agissant des conditions d'entrée en Suisse pour un court séjour (soit un séjour n'excédant pas 90 jours sur toute période de 180 jours), l'art. 3 al. 1 de l'ordonnance fédérale du 15 août 2018 sur l'entrée et l'octroi de visas (OEV, RS 142.204) dispose qu'elles sont régies par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L'art. 6 par. 1 du code frontières Schengen, dont le contenu coïncide largement avec celui de l'art. 5 al. 1 LEI précité (cf., entre autres, arrêts du TAF F-942/2019 du 7 décembre 2020 consid. 4.1 ; F-6748/2017, F-6753/2017 du 3 août 2018 consid. 3.1), énumère les conditions d'entrée pour les ressortissants de pays tiers, dont, notamment, celle d'être en possession d'un document de voyage en cours de validité autorisant son titulaire à franchir la frontière (let. a) et celle d'être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L'art. 6 par. 2 du code frontières Schengen précise, quant à lui, que la date d'entrée est considérée comme le premier jour de séjour sur le territoire des Etats membres et que la date de sortie est considérée comme le dernier jour de séjour sur le territoire des Etats membres.</w:t>
      </w:r>
    </w:p>
    <w:p>
      <w:r>
        <w:rPr>
          <w:b/>
        </w:rPr>
        <w:t>E. 3.2</w:t>
      </w:r>
    </w:p>
    <w:p>
      <w:r>
        <w:t>En tant que ressortissante canadienne, l'intéressée était libérée de l'obligation du visa pour entrer sur le territoire des Etats Schengen (cf. art. 1 par. 2 en lien avec l'annexe II du Règlement (CE) n° 539/2001 du Conseil du 15 mars 2001 précité). Elle pouvait donc séjourner dans l'Espace Schengen sans être soumise à l'obligation de visa pendant une durée maximale de trois mois au cours d'une période de six mois à compter de la date de sa première entrée.</w:t>
      </w:r>
    </w:p>
    <w:p>
      <w:r>
        <w:rPr>
          <w:b/>
        </w:rPr>
        <w:t>E. 4.1</w:t>
      </w:r>
    </w:p>
    <w:p>
      <w:r>
        <w:t>L'interdiction d'entrée, réglée à l'art. 67 LEI, n'est pas une peine visant à sanctionner un comportement déterminé, mais une mesure tendant à prévenir des atteintes à la sécurité et à l'ordre publics (cf. le Message du Conseil fédéral du 8 mars 2002 concernant la loi sur les étrangers [ci-après : Message LEtr], FF 2002 3568 ; voir aussi ATAF 2017 VII/2 consid. 4.4 et 6.4 ; 2008/24 consid. 4.2).</w:t>
      </w:r>
    </w:p>
    <w:p>
      <w:r>
        <w:rPr>
          <w:b/>
        </w:rPr>
        <w:t>E. 4.2</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(art. 67 al. 3 1ère phrase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4.3</w:t>
      </w:r>
    </w:p>
    <w:p>
      <w:r>
        <w:t>En vertu de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 ATAF 2017 VII/2 consid. 4.3).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l'étranger a violé les prescriptions du droit en matière d'étrangers (cf. Message LEtr, FF 2002 3568). Selon la jurisprudence, le fait d'entrer, de séjourner et/ou de travailler en Suisse sans autorisation constitue une violation grave des prescriptions de police des étrangers (cf., notamment, ATAF 2017 VII/2 consid. 6.2 et les réf. cit.), justifiant le prononcé d'une interdiction d'entrée pouvant aller d'un à quatre ans (cf., notamment, arrêt du TAF F-8373/2015 du 29 octobre 2019 consid. 5.4 et les réf. cit.)</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5.1</w:t>
      </w:r>
    </w:p>
    <w:p>
      <w:r>
        <w:t>En l'occurrence, l'autorité inférieure a prononcé l'interdiction d'entrée litigieuse au motif que la recourante avait séjourné sur le territoire des Etats Schengen bien au-delà de la durée de 90 jours autorisée. Cette dernière était entrée en Suisse, le 22 octobre 2020, et était demeurée de manière ininterrompue sur le territoire des Etats Schengen jusqu'au 16 mai 2021. Il en résultait un séjour illégal (en Suisse) de 63 jours.</w:t>
      </w:r>
    </w:p>
    <w:p>
      <w:r>
        <w:rPr>
          <w:b/>
        </w:rPr>
        <w:t>E. 5.2</w:t>
      </w:r>
    </w:p>
    <w:p>
      <w:r>
        <w:t>Dans son mémoire de recours, l'intéressée a fait valoir que le SEM avait violé l'art. 67 LEI ou avait, à tout le moins, commis un excès ou un abus de son pouvoir d'appréciation. Elle a exposé être entrée en Suisse le 22 octobre 2020 et avoir quitté le territoire helvétique le 16 mai 2021, date à laquelle elle avait été contrôlée. Lors de ce contrôle, il avait été constaté qu'elle avait séjourné au-delà de ce qui lui était autorisé. L'intéressée a relevé qu'elle avait été sanctionnée pénalement pour cette infraction à une amende de 350 francs. L'ordonnance pénale y relative n'ayant pas fait l'objet d'une opposition, l'amende avait d'ores et déjà été payée. Elle estimait donc avoir été déjà sanctionnée. L'intéressée a ajouté qu'au vu du montant de l'amende fixée à 350 francs, on ne pouvait considérer qu'elle avait gravement atteint à la sécurité et à l'ordre publics en Suisse ou à l'étranger. L'autorité pénale avait, dans tous les cas, considéré qu'elle n'avait pas commis cette infraction intentionnellement, mais par simple négligence. En résumé, la mesure d'interdiction d'entrée était non seulement disproportionnée mais aussi contraire à l'égalité de traitement.</w:t>
      </w:r>
    </w:p>
    <w:p>
      <w:r>
        <w:rPr>
          <w:b/>
        </w:rPr>
        <w:t>E. 5.3</w:t>
      </w:r>
    </w:p>
    <w:p>
      <w:r>
        <w:t>Il s'agit d'examiner en premier lieu si le prononcé de la mesure d'interdiction d'entrée litigieuse se justifiait dans son principe.</w:t>
      </w:r>
    </w:p>
    <w:p>
      <w:r>
        <w:rPr>
          <w:b/>
        </w:rPr>
        <w:t>E. 5.3.1</w:t>
      </w:r>
    </w:p>
    <w:p>
      <w:r>
        <w:t>Le Tribunal constate que la recourante ne conteste pas être entrée en Suisse le 22 octobre 2020 et être demeurée de manière ininterrompue sur le territoire des Etats Schengen (notamment en France et en Suisse) jusqu'à son départ pour Montréal, le 16 mai 2021. Lors de son audition, elle a en effet précisé qu'après son entrée en Suisse, elle s'était rendue en France en voiture, où elle avait séjourné jusqu'au 15 mars 2021, date de son retour en Suisse en voiture. Elle était ensuite demeurée sur le territoire helvétique jusqu'à son départ définitif. Elle a donc clairement dépassé la durée de séjour autorisée de 90 jours sur toute période de 180 jours, prévue pour l'ensemble du territoire des Etats parties par le code frontières Schengen. L'intéressée a par ailleurs été condamnée pour entrée et séjour illégaux en Suisse par ordonnance pénale du 21 juin 2021 entrée en force (cf. let. B.b. supra), celle-ci n'ayant pas été contestée. Il ressort de ce qui précède que l'intéressée a, par son comportement, bel et bien attenté à l'ordre et à la sécurité publics au sens de l'art. 77a al. 1 OASA. La recourante se devait, en effet, de respecter la législation en vigueur, ce qu'elle n'a manifestement pas fait, étant rappelé que la méconnaissance ou la mésinterprétation de la réglementation en matière de visa ou de séjour ne constitue pas un motif de renonciation au prononcé d'une mesure d'éloignement (cf., notamment, arrêts du TAF F-80/2020 du 31 mai 2021 consid. 7.3 ; F-942/2019 précité consid. 5.3 ; F-6748/2017, F-6753/2017 précité consid. 4.3). Un étranger ressortissant d'un pays tiers n'a, en outre, pas besoin d'avoir atteint de manière grave l'ordre et la sécurité publics avant de pouvoir se voir interdire d'entrée en Suisse sur la base du seul art. 67 LEI (ATF 139 II 121 consid. 5.3 et 5.4). Par ailleurs, une interdiction d'entrée n'est pas une peine sanctionnant un comportement déterminé, mais une mesure administrative de prévention (cf. consid. 4.1 supra). Ainsi, le fait que l'intéressée ait déjà été sanctionnée pénalement n'empêchait pas le SEM de prononcer une interdiction d'entrée, cette mesure administrative étant complémentaire (cf., en matière d'expulsion pénale, ATF 146 IV 311 consid. 3.7 ; arrêt du TF 6B_627/2018 du 22 mars 2019 consid. 1.3.2 in fine). Enfin, le prononcé de cette mesure d'éloignement n'est en tant que tel ni contraire au principe d'égalité de traitement, ni du principe de la proportionnalité, le Tribunal de céans ayant confirmé, dans de nombreuses affaires, le bien-fondé d'une telle mesure en cas de dépassement de la durée de séjour autorisée de 90 jours (ou « overstay » ; cf., notamment, arrêts du TAF F-942/2019 du 7 décembre 2020 consid. 5 [overstay de 104 jours] ; F-1438/2019 du 16 septembre 2020 consid. 6 [overstay de 94 jours] ; F-1641/2019 du 14 septembre 2020 consid. 3 [overstay de 31 jours] ; F-7166/2018 du 1er mai 2019 consid. 4.1 et 4.3.1 [overstay de 7 jours] ; F-7402/2018 du 22 mai 2019 consid. 7.1 et 7.2 [overstay de 35 jours]).</w:t>
      </w:r>
    </w:p>
    <w:p>
      <w:r>
        <w:rPr>
          <w:b/>
        </w:rPr>
        <w:t>E. 5.3.2</w:t>
      </w:r>
    </w:p>
    <w:p>
      <w:r>
        <w:t>Au vu de ce qui précède, il y a lieu de conclure que le prononcé de l'interdiction d'entrée litigieuse était justifié quant à son principe.</w:t>
      </w:r>
    </w:p>
    <w:p>
      <w:r>
        <w:rPr>
          <w:b/>
        </w:rPr>
        <w:t>E. 5.4</w:t>
      </w:r>
    </w:p>
    <w:p>
      <w:r>
        <w:t>Il sied encore d'examiner si la mesure d'éloignement querellée satisfait aux principes de la proportionnalité et d'égalité de traitement.</w:t>
      </w:r>
    </w:p>
    <w:p>
      <w:r>
        <w:rPr>
          <w:b/>
        </w:rPr>
        <w:t>E. 5.4.1</w:t>
      </w:r>
    </w:p>
    <w:p>
      <w:r>
        <w:t>Ayant fixé la durée de l'interdiction d'entrée à un peu moins de deux ans, le SEM est demeuré dans le cadre fixé par l'art. 67 al. 3 1ère phrase LEI, qui nécessite, pour un ressortissant d'Etat tiers, seulement l'existence d'une atteinte ou d'une mise en danger de l'ordre et de la sécurité publics (« palier I » ; cf. ATF 139 II 121 consid. 6.1).</w:t>
      </w:r>
    </w:p>
    <w:p>
      <w:r>
        <w:rPr>
          <w:b/>
        </w:rPr>
        <w:t>E. 5.4.2</w:t>
      </w:r>
    </w:p>
    <w:p>
      <w:r>
        <w:t>Pour déterminer concrètement si la durée de l'interdiction d'entrée litigieuse est proportionnée, il s'agit encore de procéder à la pesée des intérêts en présence, à savoir d'un côté l'intérêt privé de la recourante à pouvoir entrer librement sur le territoire suisse, et d'un autre côté, l'intérêt public à la tenir éloignée afin de protéger l'ordre et la sécurité publics.</w:t>
      </w:r>
    </w:p>
    <w:p>
      <w:r>
        <w:rPr>
          <w:b/>
        </w:rPr>
        <w:t>E. 5.4.3</w:t>
      </w:r>
    </w:p>
    <w:p>
      <w:r>
        <w:t>S'agissant tout d'abord de l'intérêt public, le Tribunal constate que le motif retenu par le SEM à l'appui de la mesure d'éloignement (séjour illégal en Suisse de 63 jours) ne saurait être contesté. Or, le fait de séjourner en Suisse sans autorisation représente une violation grave des prescriptions de police des étrangers (consid. 4.3 supra). Compte tenu également du nombre élevé de contraventions commises dans ce domaine, les autorités sont contraintes d'intervenir avec sévérité afin d'assurer la stricte application des prescriptions édictées en la matière. Il en va de l'intérêt public de l'Etat à voir respectés l'ordre établi et la législation en vigueur (cf., parmi d'autres, arrêt du TAF F-942/2019 précité consid. 6.1 in fine). En outre, si l'on tient compte de la date d'entrée dans l'Espace Schengen (22 octobre 2020) et de celle de la sortie de l'Espace Schengen (16 mai 2021), comme retenues par le SEM dans sa décision, cela donne un dépassement total de 117 jours de la durée de séjour autorisée de 90 jours (sur une période de 180 jours) valable pour tout le territoire des Etats parties au code frontières Schengen (cf. formulaire de calcul établi par la police zurichoise, act. 1 p. 1 s.). Comme rappelé ci-dessus, l'intéressée a en effet déclaré avoir séjourné de manière ininterrompue dans l'Espace Schengen (en France et en Suisse) depuis la date de son arrivée le 22 octobre 2020 jusqu'à celle de son départ pour Montréal le 16 mai 2021 (cf. consid. 5.3.1 supra). Or, les 63 jours expressément mentionnés par le SEM dans sa décision ne correspondent qu'au séjour illégal effectué par l'intéressée en Suisse depuis son retour de France, le 15 mars 2021, jusqu'à son départ définitif, le 16 mai 2021 (cf. formulaire de calcul établi par la police zurichoise, act. 1 p. 2). Si les autorités pénales ne peuvent, en règle générale, sanctionner que des infractions commises en Suisse (art. 3 al. 1 CP [principe de la territorialité] ; cf. let. cf. let. B.b. supra), les autorités de police des étrangers peuvent tenir compte des infractions commises à l'étranger pour prononcer une mesure d'éloignement (cf. art. 67 al. 1 let. a LEI ; arrêt du TAF F-5721/2017 du 9 mars 2018 consid. 6.4 in fine).</w:t>
      </w:r>
    </w:p>
    <w:p>
      <w:r>
        <w:rPr>
          <w:b/>
        </w:rPr>
        <w:t>E. 5.4.4</w:t>
      </w:r>
    </w:p>
    <w:p>
      <w:r>
        <w:t>Quant à son intérêt privé, l'intéressée a communiqué au Tribunal qu'elle ne disposait d'aucun lien particulier avec la Suisse ou avec un autre Etat Schengen, respectivement d'aucun intérêt particulier à pouvoir se rendre sur le territoire de l'un de ces Etats, si ce n'est l'intérêt à pouvoir y travailler à l'avenir. On relèvera toutefois qu'en tant que ressortissante d'un Etat tiers, l'intéressée ne saurait se prévaloir de la liberté économique (art. 27 Cst.), dès lors qu'elle ne bénéficie d'aucune autorisation lui permettant d'accéder au marché du travail en Suisse (cf., à ce sujet, arrêt du TAF F-1367/2019 du 20 juillet 2021 consid. 10.8). L'intéressée n'a pas non plus avancé et, a fortiori, démontré qu'elle disposerait d'un titre de séjour ou d'établissement l'autorisant à développer une activité professionnelle dans l'un des Etats Schengen.</w:t>
      </w:r>
    </w:p>
    <w:p>
      <w:r>
        <w:rPr>
          <w:b/>
        </w:rPr>
        <w:t>E. 5.4.5</w:t>
      </w:r>
    </w:p>
    <w:p>
      <w:r>
        <w:t>Au vu de ce qui précède (étant précisé que le Tribunal tiendra compte du dépassement total de 117 jours) et en comparaison de la durée retenue dans d'autres affaires d'« overstay » (cf. jurisprudences citées au consid. 5.3.1 in fine), le Tribunal considère que l'interdiction d'entrée contestée, fixée en l'occurrence à un peu moins de deux ans, est proportionnée et ne viole pas le principe de l'égalité de traitement. La jurisprudence citée par la recourante dans son recours (arrêt du TAF F-1656/2019 du 5 août 2020) ne change rien à cette appréciation.</w:t>
      </w:r>
    </w:p>
    <w:p>
      <w:r>
        <w:rPr>
          <w:b/>
        </w:rPr>
        <w:t>E. 6</w:t>
      </w:r>
    </w:p>
    <w:p>
      <w:r>
        <w:t>Le SEM a, par ailleurs, ordonné l'inscription de l'interdiction d'entrée dans le SIS. En raison de ce signalement, il est interdit à la recourante de pénétrer dans l'Espace Schengen.</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w:t>
      </w:r>
    </w:p>
    <w:p>
      <w:r>
        <w:rPr>
          <w:b/>
        </w:rPr>
        <w:t>E. 6.2</w:t>
      </w:r>
    </w:p>
    <w:p>
      <w:r>
        <w:t>Ce signalement au SIS II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7</w:t>
      </w:r>
    </w:p>
    <w:p>
      <w:r>
        <w:t>Il ressort de ce qui précède que le SEM n'a ni violé le droit fédéral, ni commis un excès ou un abus de son pouvoir d'appréciation. Sa décision n'est en outre pas inopportune (cf. art. 49 PA). Le recours est, partant, rejeté.</w:t>
      </w:r>
    </w:p>
    <w:p>
      <w:r>
        <w:rPr>
          <w:b/>
        </w:rPr>
        <w:t>E. 8</w:t>
      </w:r>
    </w:p>
    <w:p>
      <w:r>
        <w:t>Vu l'issue de la cause, les frais de procédure sont mis à la charge de la recourante (art. 63 al. 1 PA, en relation avec l'art. 1 et l'art. 3 du règlement du 21 février 2008 concernant les frais, dépens et indemnités fixés par le Tribunal administratif fédéral [FITAF, RS 173.320.2]). L'intéressée n'a, par ailleurs, pas droit à des dépens (art. 64 al. 1 a contrario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