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F-3256/2019 vom 15. Juli 2020</w:t>
      </w:r>
    </w:p>
    <w:p>
      <w:r>
        <w:t>Bundesverwaltungsgericht, 2020-07-15, FR</w:t>
      </w:r>
    </w:p>
    <w:p>
      <w:r>
        <w:rPr>
          <w:b/>
        </w:rPr>
        <w:t xml:space="preserve">Quelle: </w:t>
      </w:r>
      <w:r>
        <w:t>https://mcp.opencaselaw.ch/entscheid/bvger_F-3256_2019</w:t>
      </w:r>
    </w:p>
    <w:p>
      <w:r>
        <w:t>FR: TAF F-3256/2019 du 15 juillet 2020</w:t>
      </w:r>
    </w:p>
    <w:p>
      <w:r>
        <w:t>IT: TAF F-3256/2019 del 15 luglio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à juste titre, en application de l'ancien droit. En effet, la décision d'approbation fédérale - qui constitue une condition de validité de l'autorisation délivrée par l'autorité cantonale - « s'intègre » dans la décision cantonale, en l'occurrence rendue en novembre 2018, soit sous l'empire de l'ancien droit (cf. ATF 143II 1 consid. 5.3).</w:t>
      </w:r>
    </w:p>
    <w:p>
      <w:r>
        <w:rPr>
          <w:b/>
        </w:rPr>
        <w:t>E. 3.3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y compris en rapport avec la dénomination de cette loi. Il en va de même s'agissant de l'OASA, qui sera citée, en tant que nécessaire, selon sa teneur valable jusqu'au 31 décembre 2018 (arrêt du TAF F-1734/2019 du 23 mars 2020 consid. 3.3 et réf. citées).</w:t>
      </w:r>
    </w:p>
    <w:p>
      <w:r>
        <w:rPr>
          <w:b/>
        </w:rPr>
        <w:t>E. 4</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5</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5.1</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w:t>
      </w:r>
    </w:p>
    <w:p>
      <w:r>
        <w:rPr>
          <w:b/>
        </w:rPr>
        <w:t>E. 5.2</w:t>
      </w:r>
    </w:p>
    <w:p>
      <w:r>
        <w:t>En l'espèce, il appert du dossier que les époux se sont définitivement séparés. Le recourant ne saurait donc se prévaloir de l'art. 42 al. 1 et al. 3 LEtr, ce qu'il ne fait d'ailleurs pas (cf. à ce sujet arrêt du TAF F-7841/2015 du 30 novembre 2016 consid. 4.2).</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et 2010/46 consid. 4, et les réf. cit.).</w:t>
      </w:r>
    </w:p>
    <w:p>
      <w:r>
        <w:rPr>
          <w:b/>
        </w:rPr>
        <w:t>E. 6.2</w:t>
      </w:r>
    </w:p>
    <w:p>
      <w:r>
        <w:t>Dans le cas d'espèce, le Tribunal considère, au vu des considérants qui suivent, que le dossier ne contient pas les éléments nécessaires pour statuer en pleine connaissance de cause sur le présent litige.</w:t>
      </w:r>
    </w:p>
    <w:p>
      <w:r>
        <w:rPr>
          <w:b/>
        </w:rPr>
        <w:t>E. 7.1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époux ont fait ménage commun en Suisse (ATF 138 II 229 consid. 2).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Pour déterminer le moment de la séparation, il y a, en principe, lieu de se référer au moment où les conjoints cessent de faire ménage commun, c'est-à-dire au moment où il est extérieurement perceptible que la volonté de former une communauté conjugale n'existe plus.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de sorte que la partie en cause revient à commettre un abus de droit en se prévalant de celle-ci (cf., parmi d'autres, arrêts du TAF C-2578/2010 du 28 septembre 2012 consid. 6 et F-7245/2017 du 25 novembre 2019 consid. 6 ainsi que les réf. cit.).</w:t>
      </w:r>
    </w:p>
    <w:p>
      <w:r>
        <w:rPr>
          <w:b/>
        </w:rPr>
        <w:t>E. 7.2</w:t>
      </w:r>
    </w:p>
    <w:p>
      <w:r>
        <w:t>En l'espèce, le recourant a rejoint son épouse en Suisse en janvier 2013 et le couple se serait séparé fin 2017 (notamment pces SYMIC 5 p. 42, 4 p. 40 et TAF 1 p. 3) de sorte que le critère d'une communauté conjugale de trois ans au moins semble rempli. En l'état du dossier, les doutes du SEM ne sauraient être partagés dès lors qu'ils se basent uniquement sur d'éventuels messages échangés en 2015 entre l'épouse du recourant et un autre homme et que rien au dossier n'incite à penser que l'union conjugale ait été maintenue uniquement pour la façade (cf. notamment dossier pce SYMIC 2 p. 30 Q26, Q28 et p. 23 Q24, Q26). S'il l'estimait nécessaire, le SEM aurait donc dû procéder à de plus amples mesures d'instructions pour étayer son opinion.</w:t>
      </w:r>
    </w:p>
    <w:p>
      <w:r>
        <w:rPr>
          <w:b/>
        </w:rPr>
        <w:t>E. 7.3.1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7.3.2</w:t>
      </w:r>
    </w:p>
    <w:p>
      <w:r>
        <w:t>Selon la jurisprudence, l'essentiel est que l'étranger subvienne à ses besoins, n'émarge pas à l'aide sociale et ne s'endette pas de manière disproportionnée (cf. arrêts du TF précités 2C_364/2017 consid. 6.2 et 2C_1066/2016 consid. 3.3, et la jurisprudence citée).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Cela dit, le fait pour une personne de ne pas avoir commis d'infractions pénales et de pourvoir à son revenu sans recourir à l'aide sociale ne permet pas à lui seul de retenir une intégration réussie (cf. notamment les arrêts du TF précités 2C_364/2017 consid. 6.2 et 2C_1066/ 2016 consid. 3.3, et la jurisprudence citée). Des périodes d'inactivité de durée raisonnable n'impliquent pas forcément une absence d'intégration professionnelle (cf. arrêts du TF 2C_1066/2016 précité consid. 3.3 et 2C_656/2016 du 9 février 2017 consid. 5.2,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situation effective, à savoir sur la présence ou non de l'intéressé sur le marché du travail (cf. arrêts du TF 2C_925/2015 du 27 mars 2017 consid. 6.4.4 et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du TF 2C_656/2016 du 9 février 2017 consid. 5.2 et 2C_861/2015 du 11 février 2016 consid. 5.2 et 5.6.2). Dès lors,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(cf. arrêts du TF 2C_160/2018 du 29 octobre 2018 consid. 2.2 et 2C_175/2015 du 30 octobre 2015 consid. 3 ; arrêts du TAF F-2899/2018 du 25 mai 2020 consid. 6.1 et F-821/2018 du 21 mai 2019 consid. 8.4).</w:t>
      </w:r>
    </w:p>
    <w:p>
      <w:r>
        <w:rPr>
          <w:b/>
        </w:rPr>
        <w:t>E. 7.3.3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7.3.4</w:t>
      </w:r>
    </w:p>
    <w:p>
      <w:r>
        <w:t>Concernant les connaissances de la langue au lieu du domicile, on rappellera qu'il y a lieu de se référer au niveau A1 du Cadre européen commun de référence pour les langues, seuil minimal exigé en la matière (cf. la codification de la jurisprudence [notamment arrêt du TAF F-2191/2016 du 19 avril 2018 consid. 5.4.2] à l'art. 77 al. 4 OASA). Selon la jurisprudence, des connaissances linguistiques lacunaires ne permettent pas automatiquement de conclure à une intégration insuffisante au sens de l'art. 50 al. 1 let. a LEtr ; bien plutôt, il sied d'examiner si des motifs permettent de justifier ces lacunes dans le cas concret et si la personne concernée est prête, par exemple, à suivre des cours de langue (cf. arrêt du TAF F-8239/2015 du 30 mai 2017 consid. 6.5.4 et les réf. citées).</w:t>
      </w:r>
    </w:p>
    <w:p>
      <w:r>
        <w:rPr>
          <w:b/>
        </w:rPr>
        <w:t>E. 7.4</w:t>
      </w:r>
    </w:p>
    <w:p>
      <w:r>
        <w:t>En l'espèce, le SEM a relevé que le recourant ne maîtrisait pas le français et n'avait exercé un emploi partiel que dès mai 2017, son salaire devant être complété par un revenu d'insertion d'environ 250 francs. Or, cet état de fait ne se base que sur les seules déclarations du recourant (pce SYMIC 2 p. 31). En outre, le SEM ne s'est pas positionné sur l'argument potentiellement déterminant du recourant, selon lequel il se serait occupé pendant trois ans à plein temps de sa fille pour permettre à son épouse de travailler (pce SYMIC 5 p. 42) ; pourtant, comme rappelé ci-dessus, il y a essentiellement lieu de se référer à la situation de l'intéressé pendant la vie de couple, voire jusqu'à l'échéance de son autorisation de séjour, soit en l'espèce janvier 2018 (notamment pce SYMIC 2 p.34). Or, si l'on suit le recourant, il aurait, en s'occupant de sa fille, permis à son épouse de travailler, et aurait trouvé un travail stable avant la séparation lui offrant une certaine indépendance financière ; cette indépendance serait d'ailleurs totale depuis janvier 2020 suite à une augmentation du taux de travail (pce TAF 8). De plus, le SEM n'a pas relevé que l'intéressé ne faisait l'objet d'aucune poursuite ou acte de défaut de biens, ni d'aucune condamnation pénale. Cela dit, comme le relève le SEM, l'épouse du recourant a déposé plainte pénale à son encontre, l'accusant notamment de contrainte et d'avoir proféré des injures et menaces (pce SYMIC 2 p. 18 voir aussi p. 30 et 31). En outre, le SEM se contente de relever que le recourant a eu recours à un interprète lors de son audition en 2018, reconnaître ne « pas beaucoup » parler le français et avoir suivi des cours de langue pendant trois mois ; or, ces trois éléments ne permettent aucunement de retenir sans autre que le recourant ne remplirait pas le critère de la langue (cf. consid. 6.3.4 supra), ce d'autant moins si l'on considère le faible niveau requis (à savoir A1) et, comme le relève à juste titre l'intéressé, son travail de conciergerie impliquant une certaine interaction sociale. Même son épouse a reconnu qu'il « se débrouill[ait] » en français (pce SYMIC 2 p. 23 Q21). Ainsi, le SEM ne pouvait se contenter de nier l'intégration du recourant sans procéder à de plus amples mesure d'instruction. Il lui appartiendra en particulier d'éclaircir les raisons ayant amené le recourant à ne débuter un emploi, à temps partiel, qu'en mai 2017 et de demander des nouveaux décomptes salariaux, des attestations de la part des services sociaux ainsi qu'un nouvel extrait de l'Office des poursuites. Le SEM devra aussi examiner si le recourant s'est effectivement occupé de sa fille, de sorte qu'il ne pouvait entamer une activité lucrative plus tôt ou préparer son entrée sur le marché du travail ; dans ce contexte, on soulignera que son épouse a notamment déclaré qu'il n'avait pas souhaité travailler et qu'il n'avait « pas fait d'effort pour chercher un emploi » (pce SYMIC 2 p. 25 ; voir aussi consid. 7.3 infra). Il devra également vérifier qu'aucune condamnation pénale n'a été prononcée et, le cas échéant et pour autant que besoin, consulter les dossiers pénaux.</w:t>
      </w:r>
    </w:p>
    <w:p>
      <w:r>
        <w:rPr>
          <w:b/>
        </w:rPr>
        <w:t>E. 8</w:t>
      </w:r>
    </w:p>
    <w:p>
      <w:r>
        <w:t>Une cassation s'impose également sous l'angle de l'art. 50 al. 1 let. b LEtr.</w:t>
      </w:r>
    </w:p>
    <w:p>
      <w:r>
        <w:rPr>
          <w:b/>
        </w:rPr>
        <w:t>E. 8.1</w:t>
      </w:r>
    </w:p>
    <w:p>
      <w:r>
        <w:t>Après la dissolution de la famille, cette disposition permet au conjoint étranger de poursuivre son séjour en Suisse si des motifs personnels graves l'exigent (ATF 138 II 393 consid. 3.1). Des raisons personnelles majeures au sens de l'art. 50 al. 1 let. b LEtr peuvent découler d'une relation digne de protection avec un enfant qui a le droit de séjourner en Suisse (cf. art. 8 CEDH ; ATF 139 I 315 consid. 2.1 in fine).</w:t>
      </w:r>
    </w:p>
    <w:p>
      <w:r>
        <w:rPr>
          <w:b/>
        </w:rPr>
        <w:t>E. 8.2</w:t>
      </w:r>
    </w:p>
    <w:p>
      <w:r>
        <w:t>Dans son mémoire de recours, le recourant invoque la présence en Suisse de sa fille, titulaire de la citoyenneté helvétique sur laquelle il détient l'autorité parentale conjointe.</w:t>
      </w:r>
    </w:p>
    <w:p>
      <w:r>
        <w:rPr>
          <w:b/>
        </w:rPr>
        <w:t>E. 8.2.1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2C_76/2017 du 1er mai 2017 consid. 3.2.1).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arrêt 2C_520/2016 du 13 janvier 2017 consid. 4.2 et les arrêts cités; cf. aussi arrêt de la CourEDH El Ghatet c. Suisse du 8 novembre 2016 [requête n° 56971/10], par. 27 s. et 46 s.), étant précisé que, sous l'angle du droit des étrangers, cet élément n'est pas prépondérant par rapport aux autres et que l'art. 3 CDE ne saurait fonder une prétention directe à l'octroi ou au maintien d'une autorisation (ATF 140 I 145 consid. 3.2 ; arrêts 2C_165/2017 du 3 août 2017 consid. 3.3 et 2C_520/2016 du 13 janvier 2017 consid. 4.3).</w:t>
      </w:r>
    </w:p>
    <w:p>
      <w:r>
        <w:rPr>
          <w:b/>
        </w:rPr>
        <w:t>E. 8.2.2</w:t>
      </w:r>
    </w:p>
    <w:p>
      <w:r>
        <w:t>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celui-ci pourra en effet, lorsque cette communauté prend fin, invoquer non seulement l'art. 8 CEDH mais également la jurisprudence plus favorable développée dans le cadre de l'art. 50 al. 1 let. b LEtr.</w:t>
      </w:r>
    </w:p>
    <w:p>
      <w:r>
        <w:rPr>
          <w:b/>
        </w:rPr>
        <w:t>E. 8.2.3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w:t>
      </w:r>
    </w:p>
    <w:p>
      <w:r>
        <w:rPr>
          <w:b/>
        </w:rPr>
        <w:t>E. 8.2.4</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2C_1066/2016 du 31 mars 2017 consid. 4.4, 2C_395/2012 du 9 juillet 2012 consid. 5.1 in fine et 2C_325/2010 du 11 octobre 2010 consid. 5.2.3).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TF 2C_786/2016 du 5 avril 2017 consid. 3.2.1).</w:t>
      </w:r>
    </w:p>
    <w:p>
      <w:r>
        <w:rPr>
          <w:b/>
        </w:rPr>
        <w:t>E. 8.3</w:t>
      </w:r>
    </w:p>
    <w:p>
      <w:r>
        <w:t>En l'espèce, le SEM a simplement retenu dans la décision querellée que le recourant ne bénéficiait pas d'un droit de visite usuel, dès lors qu'il lui était interdit de quitter le territoire helvétique avec sa fille. Or, d'une part, cette interdiction ne s'étendait qu'à quelques jours en août 2018 et le recourant bénéficiait alors déjà d'un droit de visite d'un week-end sur deux (pce SYMIC 2 p. 20), et ce alors que l'enfant n'était pas encore en âge scolaire. Si le fait que le recourant n'avait pas le droit de quitter la Suisse avec son enfant doit certes être pris en compte dans l'examen de son cas, il ne s'agit que d'un élément parmi d'autres. Cela dit, on notera que la mère de l'enfant, laquelle reproche au recourant de ne pas pleinement exercer son droit de visite et de s'être, à tout le moins une fois, décommandé au dernier moment, a indiqué que l'intéressé profitait de la présence en Suisse de membres de sa famille et faisait régulièrement venir sa mère, de sorte qu'il n'aurait « jamais gardé [leur] fille de lui-même » (pce SYMIC 2 p. 24). Une prise de contact avec le Service de la protection de la jeunesse devait avoir lieu en février 2019 selon le recourant (cf. pce TAF 7 in fine). Dans ces conditions, il appartient au SEM de procéder à de plus amples mesures d'instruction, en particulier pour savoir si le droit de visite s'effectue de manière effective et sans encombres. Le même constat s'impose quant au lien économique. En effet, le SEM s'est contenté de retenir que le recourant n'avait pas démontré verser de pension alimentaire en faveur de sa fille et qu'il n'avait pas fourni les efforts nécessaires pour créer une relation économique avec son enfant. Or, hormis les déclarations des époux, aucune pièce au dossier de l'autorité inférieure n'indique que l'intéressé doit verser une pension alimentaire (voir pce SYMIC 2 p. 31 Q17). Bien au contraire, il apparaît qu'en juin 2018 les autorités judiciaires ont ratifié une convention, par laquelle les époux ont certes reconnu que le montant assurant un entretien convenable pour l'enfant s'élevait à 425 francs, mais ont renoncé à astreindre le recourant au versement de cette somme, au vu de sa situation financière précaire (pce SYMIC 2 p. 12). Ajouté à l'allégation du recourant qu'il n'aurait pas travaillé jusqu'en 2017 pour s'occuper de sa fille, le SEM ne pouvait se contenter d'indiquer, sans procéder à des mesures d'instruction, que l'intéressé n'avait pas entrepris les efforts nécessaires pour établir une relation économique avec son enfant ; dans ce cadre, il lui incombait notamment d'examiner les recherches d'emploi effectuées par le recourant et les efforts entrepris pour optimiser ses chances d'intégration sur le marché de l'emploi (cf. notamment parmi d'autres, arrêts du TAF F-1318/2016 du 26 avril 2018 consid. 7.3.2 et C-4794/2014 du 17 février 2016 consid. 8.2.3). Sous cet angle également, il se justifie de renvoyer le dossier à l'autorité inférieure. A toutes fins utiles, on soulignera que le recourant semble honorer son obligation de verser une pension alimentaire de 200 francs par mois dès le 1er juillet 2019 (pces TAF 8 à 10). Enfin, sous l'angle du comportement irréprochable, le SEM devra vérifier qu'aucune condamnation pénale n'a été prononcée et, le cas échéant et pour autant que besoin, consulter les dossiers pénaux, étant rappelé que le recourant détient l'autorité parentale conjointe sur sa fille.</w:t>
      </w:r>
    </w:p>
    <w:p>
      <w:r>
        <w:rPr>
          <w:b/>
        </w:rPr>
        <w:t>E. 9.1</w:t>
      </w:r>
    </w:p>
    <w:p>
      <w:r>
        <w:t>Au vu des mesures d'investigation encore nécessaires et du fait que l'autorité inférieure ne s'est que laconiquement positionnée sur les arguments du recourant, il se justifie de lui renvoyer la cause pour qu'elle procède à toutes les mesures d'instruction utiles. Le recourant est tenu de participer pleinement à l'établissement des faits pertinents (cf. art. 13 PA et 90 LEtr) ; cela dit, le SEM tiendra compte du fait que celui-ci n'est pas représenté.</w:t>
      </w:r>
    </w:p>
    <w:p>
      <w:r>
        <w:rPr>
          <w:b/>
        </w:rPr>
        <w:t>E. 9.2</w:t>
      </w:r>
    </w:p>
    <w:p>
      <w:r>
        <w:t>Le recours doit ainsi être admis, la décision attaquée annulée et la cause renvoyée à l'autorité inférieure pour instruction complémentaire et nouvelle décision au sens des considérants.</w:t>
      </w:r>
    </w:p>
    <w:p>
      <w:r>
        <w:rPr>
          <w:b/>
        </w:rPr>
        <w:t>E. 9.3</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w:t>
      </w:r>
    </w:p>
    <w:p>
      <w:r>
        <w:rPr>
          <w:b/>
        </w:rPr>
        <w:t>E. 9.4</w:t>
      </w:r>
    </w:p>
    <w:p>
      <w:r>
        <w:t>Obtenant gain de cause, le recourant a en principe droit à des dépens (art. 64 al. 1 PA en relation avec l'art. 7 du règlement du 21 février 2008 concernant les frais, dépens et indemnités fixés par le Tribunal administratif fédéral [FITAF, RS 173.320.2]). En l'espèce, les frais du recourant, lequel n'est pas représenté, sont relativement peu élevés de sorte que le Tribunal peut renoncer à allouer des dépens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