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F-3255/2020 vom 2. Juli 2020</w:t>
      </w:r>
    </w:p>
    <w:p>
      <w:r>
        <w:t>Bundesverwaltungsgericht, 2020-07-02, DE</w:t>
      </w:r>
    </w:p>
    <w:p>
      <w:r>
        <w:rPr>
          <w:b/>
        </w:rPr>
        <w:t xml:space="preserve">Quelle: </w:t>
      </w:r>
      <w:r>
        <w:t>https://mcp.opencaselaw.ch/entscheid/bvger_F-3255_2020</w:t>
      </w:r>
    </w:p>
    <w:p>
      <w:r>
        <w:t>FR: TAF F-3255/2020 du 2 juillet 2020</w:t>
      </w:r>
    </w:p>
    <w:p>
      <w:r>
        <w:t>IT: TAF F-3255/2020 del 2 luglio 2020</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3 AsylG und Art. 52 Abs. 1 VwVG) ist - unter Vorbehalt von E. 3. - einzutreten.</w:t>
      </w:r>
    </w:p>
    <w:p>
      <w:r>
        <w:rPr>
          <w:b/>
        </w:rPr>
        <w:t>E. 1.2</w:t>
      </w:r>
    </w:p>
    <w:p>
      <w:r>
        <w:t>Die Kognition des Bundesverwaltungsgerichts und die zulässigen Rügen richten sich im Asylbereich nach Art. 106 Abs. 1 AsylG, im Bereich des Ausländerrechts nach Art. 49 VwVG (vgl. BVGE 2014/26 E. 5).</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3</w:t>
      </w:r>
    </w:p>
    <w:p>
      <w:r>
        <w:t>Mit der vorliegenden Verfügung hat die Vorinstanz im Dispositiv keine Anordnungen zum ZEMIS-Eintrag getroffen, weshalb diesbezüglich kein Anfechtungsobjekt vorliegt. Der ZEMIS-Eintrag ist nicht Gegenstand des angefochtenen Nichteintretensentscheides und damit auch nicht des vorliegenden Verfahrens. Auf den entsprechenden Beschwerdeantrag bezüglich Berichtigung des ZEMIS-Eintrags ist nicht einzutreten. Der Beschwerdeführer müsste zur Änderung seines Geburtsdatums im ZEMIS vielmehr ein separates Verfahren bei der Vorinstanz anstrengen (vgl. zuletzt z.B. Urteile des BVGer E-1630/2020 vom 3. April 2020 S. 5; D-1619/2020 vom 24. März 2020 S. 4 f.). Im vorliegenden Verfahren geht es darum, die Zuständigkeit zur Durchführung des Asylverfahrens festzulegen. Die Gewährung der vorläufigen Aufnahme ist daher nicht Gegenstand des vorliegenden Verfahrens. Auf dieses Rechtsbegehren ist ebenfalls nicht einzutreten.</w:t>
      </w:r>
    </w:p>
    <w:p>
      <w:r>
        <w:rPr>
          <w:b/>
        </w:rPr>
        <w:t>E. 4.1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Von Wiederaufnahmeverfahren ausgeschlossen sind unbegleitete Minderjährige (vgl. Filzwieser/Sprung, Dublin III-Verordnung, Wien 2014, Kap. 16 zu Art. 8). Im Falle von unbegleiteten Minderjährigen ohne familiäre Anknüpfungspunkte (zu einem anderen Mitgliedstaat) ist gemäss Art. 8 Abs. 4 Dublin-III-VO der Staat zuständig, in welchem der Minderjährige seinen Antrag gestellt hat. Eine Anwendung dieser Bestimmung würde im vorliegenden Fall eine vorrangige Zuständigkeit der Schweiz begründen.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5.3</w:t>
      </w:r>
    </w:p>
    <w:p>
      <w:r>
        <w:t>Der nach dieser Verordnung zuständige Mitgliedstaat ist verpflichtet, einen Drittstaatsangehörigen oder Staatenlosen, dessen Antrag abgelehnt wurde und der in einem anderen Mitgliedstaat einen Antrag gestellt hat oder der sich im Hoheitsgebiet eines anderen Mitgliedstaats ohne Aufenthaltstitel aufhält, nach Massgabe der Artikel 23, 24, 25 und 29 wieder aufzunehmen (Art. 18 Abs. 1 Bst. d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6.1</w:t>
      </w:r>
    </w:p>
    <w:p>
      <w:r>
        <w:t>Die Vorinstanz hielt zur Begründung ihres Nichteintretensentscheids fest, dem Beschwerdeführer sei es nicht gelungen, seine Minderjährigkeit nachzuweisen oder glaubhaft zu machen. Er habe keine Dokumente eingereicht, die seine Identität zweifelsfrei nachweisen könnten. Seine Aussage, er habe seinen Heimatstaat als Minderjähriger verlassen und besitze deshalb keine Identitätspapiere, vermöge aufgrund der Ergebnisse des Altersgutachtens nicht zu überzeugen. Aufgrund seiner allgemein und oberflächlich gehaltenen Angaben zu seiner Familie und seinen Verwandten seien sein persönlicher Lebensweg und die Vorbringen zu seinem Alter ebenfalls als unsubstantiiert und unglaubhaft zu beurteilen. Als stereotyp zu werten seien seine Ausführungen, seine Mutter sei im Besitze seines Geburtsscheins, er habe jedoch keinen Kontakt mehr zu ihr. Gemäss der Zustimmung der französischen Behörden würden auch sie von der Volljährigkeit des Beschwerdeführers ausgehen, zumal er dort mit dem Geburtsdatum (...) erfasst worden sei. Aus dem Altersgutachten gehe nebst dem Mindestalter von 19 Jahren auch ein wahrscheinliches Alter mit einem Mittelwert von etwa 22 Jahren hervor, weshalb das Geburtsdatum auf den (...) festgelegt worden sei. Der Abgleich seiner Fingerabdrücke mit der Datenbank Eurodac weise nach, dass er am 17. Januar und 31. Juli 2018 in Frankreich um Asyl ersucht habe. Die dortigen Behörden hätten einer Rückübernahme gestützt auf die Dublin-Vertragsgrundlagen explizit zugestimmt. Es würden keine begründeten Hinweise vorliegen, Frankreich komme seinen völkerrechtlichen Verpflichtungen nicht nach und würde das Asyl- und Wegweisungsverfahren nicht korrekt durchführen. Frankreich verfüge über eine ausreichende medizinische Infrastruktur und Asylsuchende hätten Zugang dazu. Die gesundheitlichen Probleme des Beschwerdeführers seien erfolgreich behandelt worden und aufgrund seiner angeblichen psychischen Leiden sei er nie bei der Pflege im Bundesasylzentrum vorstellig geworden. Eine medizinische und psychologische Behandlung könne auch in Frankreich vorgenommen werden. In Würdigung der Aktenlage würden keine Gründe vorliegen, die die Anwendung der Souveränitätsklausel durch die Schweiz begründen könnten. Eine Überstellung nach Frankreich erfolge wegen des Covid-19 Virus erst, wenn dies technisch wieder möglich sei.</w:t>
      </w:r>
    </w:p>
    <w:p>
      <w:r>
        <w:rPr>
          <w:b/>
        </w:rPr>
        <w:t>E. 6.2</w:t>
      </w:r>
    </w:p>
    <w:p>
      <w:r>
        <w:t>Der Beschwerdeführer hält demgegenüber in seiner Rechtsmitteleingabe im Wesentlichen fest, er sei am (...) geboren und somit minderjährig. Als Mindestalter betreffend die Schlüsselbein- respektive Skelettaltersanalyse sei im Altersgutachten von einem Alter von 19 Jahren ausgegangen worden, bei den sexuellen Reifezeichen von 14.1 Jahren und bei der Handknochenanalyse der linken Hand von 16.1 Jahren. Das Gutachten führe nicht aus, weshalb sich diese Werte widersprechen. Weiter werde darin geltend gemacht, sein wahrscheinliches Alter sei 22 Jahre. Dieses Alter entspreche dem Alter, mit welchem er bei den ausländischen Behörden erfasst worden sei und erwecke damit den Eindruck, die Vorinstanz habe diese Informationen an den Gutachter weitergegeben und damit dessen Objektivität und Unparteilichkeit beeinflusst. Es sei daher durch das Bundesverwaltungsgericht ein neues Altersgutachten in Auftrag zu geben. In der Schweiz habe er bereits mehrmals medizinische Behandlung in Anspruch genommen und einen Antrag auf psychiatrische Behandlung gestellt. Seine Ausführungen zu seinem Alter, zur Art und Weise der Kenntnisnahme seines Geburtsdatums, zum Fehlen von Identitätsdokumenten und zur Familie seien nachvollziehbar und glaubhaft ausgefallen. Bei seiner Ankunft in Italien sei es ihm seelisch und physisch sehr schlecht gegangen, weshalb er nicht wisse, unter welchen Personalien er dort registriert worden sei und wie die italienischen Behörden auf die Geburtsdaten gekommen seien. Den französischen Behörden habe er sein richtiges Geburtsdatum genannt, diese hätten ihm jedoch nicht geglaubt. Weder in Italien noch in Frankreich seien Abklärungen zu seinem Alter durchgeführt worden. Sein äusseres Erscheinungsbild lasse auf seine Minderjährigkeit schliessen. Die Vorinstanz habe keine Gesamtwürdigung vorgenommen, sondern ihren Entscheid lediglich auf das Altersgutachten gestützt. Damit gelte er als minderjährig und auf sein Asylgesuch sei einzutreten.</w:t>
      </w:r>
    </w:p>
    <w:p>
      <w:r>
        <w:rPr>
          <w:b/>
        </w:rPr>
        <w:t>E. 7.1</w:t>
      </w:r>
    </w:p>
    <w:p>
      <w:r>
        <w:t>Ein Abgleich der Fingerabdrücke des Beschwerdeführers mit der "Eurodac"-Datenbank ergab, dass dieser am 17. Januar und am 31. Juli 2018 in Frankreich Asylgesuche eingereicht hatte. Das SEM ersuchte deshalb die französischen Behörden am 18. Februar 2020 um Wiederaufnahme des Beschwerdeführers gestützt auf Art. 23 Dublin-III-VO. Die französischen Behörden stimmten dem Gesuch am 23. Februar 2020 zu. Der Beschwerdeführer bestreitet nicht, in Frankreich ein Asylgesuch eingereicht zu haben. Die grundsätzliche Zuständigkeit Frankreichs ist somit gegeben.</w:t>
      </w:r>
    </w:p>
    <w:p>
      <w:r>
        <w:rPr>
          <w:b/>
        </w:rPr>
        <w:t>E. 7.2</w:t>
      </w:r>
    </w:p>
    <w:p>
      <w:r>
        <w:t>Der Beschwerdeführer macht geltend, minderjährig zu sein. Die Beweislast für die behauptete Minderjährigkeit trägt grundsätzlich die asylsuchende Person. Im Rahmen einer Gesamtwürdigung ist eine Abwägung sämtlicher Anhaltspunkte, die für oder gegen die Richtigkeit der betreffenden Altersangaben sprechen, vorzunehmen. Wesentlich sind dabei als für echt befundene Identitätspapiere oder eigene Angaben der betroffenen Person (vgl. Urteil des BVGer E-4931/2014 vom 21. Januar 2015 E. 5.1.1, mit Hinweis auf Entscheidungen und Mitteilungen der [vormaligen] Asylrekurskommission [EMARK] 2004 Nr. 30). Sämtliche Anhaltspunkte sind abzuwägen, wobei das Resultat des Altersgutachtens nur ein Element bei der Beurteilung der Frage der Glaubhaftigkeit einer geltend gemachten Minderjährigkeit darstellt (vgl. Urteil des BVGer D-6422/2016 vom 10. Januar 2017 E. 5.5). Der Beschwerdeführer reicht auch auf Beschwerdeebene keine Identitätsdokumente ein, die seine angebliche Minderjährigkeit belegen könnten. Das Altersgutachten kam zum Schluss, es sei von einem Mindestalter von 19 Jahren auszugehen, wobei anhand der Untersuchung ein Alter von etwa 22 Jahren wahrscheinlich sei. Das Altersgutachten würdigte verschiedene Aspekte und kam in einem Gesamtergebnis zu Gunsten des Beschwerdeführers zu einem Mindestalter von 19 Jahren. Dieses Vorgehen ist nicht zu beanstanden. Die Feststellung im Gutachten, das vom Beschwerdeführer angegebene Alter von 19 Jahren und 4 Monaten sei mit den erhobenen Befunden nicht zu vereinbaren, stützt sich auf das von der Vorinstanz fälschlicherweise weitergegebene Geburtsdatum (...) (vgl. dazu vorinstanzliche Verfügung S. 3 f.). Trotz dieses Versehens ist das Altersgutachten insgesamt als glaubwürdig und vollständig einzustufen und es kann darauf verzichtet werden, ein erneutes Gutachten einzuholen. Sein diesbezüglicher Antrag ist abzuweisen. Die Vorinstanz ging sodann auch aufgrund des Aussageverhaltens des Beschwerdeführers zu Recht von seiner Volljährigkeit aus. Zu seiner Familie machte er nur oberflächliche Angaben und konnte zu seinem Tagesablauf keine Details nennen (vgl. SEM-Akten act. [...]-20 F8 f.). Den Aufenthaltsort seiner Mutter wisse er nicht und zu seiner Tante, bei welcher er immerhin rund zwei Jahre gelebt haben will, habe er keinen Kontakt mehr; deshalb könne er auch keine Geburtsurkunde beschaffen (vgl. act. [...]-17 S. 8; act. [...]-20 F30 und F31 ff.). Als weiteres Indiz sind sodann die Registrierungen des Beschwerdeführers in Italien und Frankreich zu werten. Anlässlich dieser Asylgesuche gab er sich als volljährig aus. Seine Erklärung, er könne sich nicht mehr erinnern, unter welchem Geburtsdatum er sich in Italien registriert habe und in Frankreich habe er sich immer als minderjährig zu erkennen gegeben, die französischen Behörden hätten ihm jedoch nicht geglaubt, überzeugt nicht. Vielmehr besteht der Verdacht, dass er bei der Anmeldung in der Schweiz versucht hat, sein Alter zu verschleiern, nachdem sein Asylgesuch in Frankreich auch nach Ergreifung eines Rechtsmittels abgelehnt wurde. Die französischen Behörden gingen trotz Hinweis auf seine Registrierung als Minderjähriger in der Schweiz von seiner Volljährigkeit aus, weshalb sie einer Rückübernahme zustimmten. In einer Gesamtwürdigung ist es dem Beschwerdeführer nicht gelungen, seine Minderjährigkeit nachzuweisen oder zumindest glaubhaft zu machen, weshalb er als volljährig betrachtet wird. An der grundsätzlichen Zuständigkeit Frankreichs ändert sich damit nichts.</w:t>
      </w:r>
    </w:p>
    <w:p>
      <w:r>
        <w:rPr>
          <w:b/>
        </w:rPr>
        <w:t>E. 7.3</w:t>
      </w:r>
    </w:p>
    <w:p>
      <w:r>
        <w:t>Im Lichte von Art. 3 Abs. 2 Dublin-III-VO ist zu prüfen, ob es wesentliche Gründe für die Annahme gibt, das Asylverfahren und die Aufnahmebedingungen für Asylsuchende in Frankreich würden systemische Schwachstellen aufweisen, die eine Gefahr einer unmenschlichen oder entwürdigenden Behandlung im Sinne des Artikels 4 der EU-Grundrechtecharta mit sich bringen würden. Frankreich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Unter diesen Umständen ist die Anwendung von Art. 3 Abs. 2 Dublin-III-VO nicht gerechtfertigt.</w:t>
      </w:r>
    </w:p>
    <w:p>
      <w:r>
        <w:rPr>
          <w:b/>
        </w:rPr>
        <w:t>E. 7.4</w:t>
      </w:r>
    </w:p>
    <w:p>
      <w:r>
        <w:t>Der Beschwerdeführer hat kein konkretes und ernsthaftes Risiko dargetan, die französischen Behörden würden sich weigern, ihn wieder aufzunehmen und seinen Antrag auf internationalen Schutz unter Einhaltung der Regeln der Verfahrensrichtlinie zu prüfen. Den Akten sind denn auch keine Gründe für die Annahme zu entnehmen, Frankreich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Frankreich seien derart schlecht, dass sie zu einer Verletzung von Art. 4 der EU-Grundrechtecharta, Art. 3 EMRK oder Art. 3 FoK führen könnten. Weiter liegen keine Hinweise dafür vor, dass die Behandlung seines Asylgesuchs mangelhaft gewesen sein könnte und seine Wegweisung in Verletzung des Non-Refoulement-Prinzips verfügt worden wäre. In diesem Zusammenhang ist der Vollständigkeit halber festzuhalten, dass ein definitiver Entscheid über ein Asylgesuch und die Wegweisung in das Heimatland nicht per se eine Verletzung des Non-Refoulement-Prinzips darstellen. Das Prinzip der Überprüfung eines Asylgesuchs durch einen einzigen Mitgliedstaat ("one chance only") dient im Gegenteil der Vermeidung von multiplen Asylgesuchen in verschiedenen Staaten (sogenanntes "asylum shopping"; vgl. BVGE 2017 VI/5 E. 8.5.3.3). Vorliegend führt die Überstellung des Beschwerdeführers nach Frankreich gemäss Akten nicht zu einer Kettenabschiebung, welche gegen das Non-Refoulement-Prinzip verstossen würde, wie es in Art. 33 FK verankert ist (und sich ausserdem aus Art. 4 der EU-Grundrechtecharta, Art. 3 EMRK oder Art. 3 FoK ableiten lässt). Der Beschwerdeführer hat auch keine konkreten Hinweise für die Annahme dargetan, Frankreich würde ihm dauerhaft die ihm gemäss Aufnahmerichtlinie zustehenden minimalen Lebensbedingungen vorenthalten. Bei einer allfälligen vorübergehenden Einschränkung könnte er sich im Übrigen nötigenfalls an die französischen Behörden wenden und die ihm zustehenden Aufnahmebedingungen auf dem Rechtsweg einfordern (vgl. Art. 26 Aufnahmerichtlinie). Seine gesundheitlichen Probleme sind nicht derart gravierend, als dass eine Überstellung nach Frankreich eine tatsächliche Gefahr (real risk) einer Verletzung von Art. 3 EMRK mit sich bringen würde (vgl. BVGE 2011/9 E. 7 mit Hinweisen auf die Rechtsprechung des EGMR sowie Urteil des EGMR P. gegen Belgien vom 13. Dezember 2016 [Nr. 41738/10]). Gemäss ärztlicher Auskunft vom 10. Juni 2020 melde sich der Beschwerdeführer regelmässig bei der Pflege des Bundesasylzentrums wegen Oberbauchbeschwerden. Ein Test auf Heliobakter sei negativ ausgefallen. Er erhalte Medikamente, die ihm helfen würden. Zudem leide er an leichten Schlafproblemen. Ansonsten wirke er gesund (vgl. act. [...]-50). Damit handelt es sich beim Beschwerdeführer nicht um eine besonders verletzliche Person. Daran ändern auch die geltend gemachten psychischen Probleme nichts, zumal diese nicht belegt sind. Für einen Selbsteintritt der Schweiz gemäss Art. 29a Abs. 3 AsylV1 in Verbindung mit Art. 17 Dublin-III-VO besteht demnach keine Veranlassung. Eine Ermessenunterschreitung liegt nicht vor. Der Vollständigkeit halber ist festzuhalten, dass die Dublin-III-VO den Schutzsuchenden kein Recht einräumt, den ihren Antrag prüfenden Staat selber auszuwählen (vgl. auch BVGE 2010/45 E. 8.3).</w:t>
      </w:r>
    </w:p>
    <w:p>
      <w:r>
        <w:rPr>
          <w:b/>
        </w:rPr>
        <w:t>E. 7.5</w:t>
      </w:r>
    </w:p>
    <w:p>
      <w:r>
        <w:t>Allfällige Verzögerungen aufgrund der herrschenden Situation im Zusammenhang mit der COVID-19-Pandemie stellen - gemäss aktuellem Kenntnisstand - lediglich temporäre Vollzugshindernisse dar und vermögen am Ausgang des vorliegenden Verfahrens nichts zu ändern (vgl. Urteil des BVGer F-1829/2020 vom 9. April 2020 E. 5.2).</w:t>
      </w:r>
    </w:p>
    <w:p>
      <w:r>
        <w:rPr>
          <w:b/>
        </w:rPr>
        <w:t>E. 8</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Frankreich in Anwendung von Art. 44 AsylG ebenfalls zu Recht angeordnet (Art. 32 Bst. a AsylV 1).</w:t>
      </w:r>
    </w:p>
    <w:p>
      <w:r>
        <w:rPr>
          <w:b/>
        </w:rPr>
        <w:t>E. 9</w:t>
      </w:r>
    </w:p>
    <w:p>
      <w:r>
        <w:t>Das Fehlen von Überstellungshindernissen ist bereits Voraussetzung des Nichteintretensentscheids gemäss Art. 31a Abs. 1 Bst. b AsylG, weshalb allfällige Vollzugshindernisse gemäss Art. 83 Abs. 3 und 4 AIG (SR 142.20) unter diesen Umständen nicht mehr zu prüfen sind (vgl. BVGE 2015/18 E. 5.2 m.w.H.).</w:t>
      </w:r>
    </w:p>
    <w:p>
      <w:r>
        <w:rPr>
          <w:b/>
        </w:rPr>
        <w:t>E. 10</w:t>
      </w:r>
    </w:p>
    <w:p>
      <w:r>
        <w:t>Nach dem Gesagten ist die Beschwerde abzuweisen, soweit darauf einzutreten ist, und die Verfügung des SEM zu bestätigen. Das Beschwerdeverfahren ist mit vorliegendem Urteil abgeschlossen, weshalb sich die Anträge auf Gewährung der aufschiebenden Wirkung sowie auf Verzicht auf die Erhebung eines Kostenvorschusses als gegenstandslos erweisen.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Gewährung der unentgeltlichen Prozessführung (vgl. Art. 65 Abs. 1 VwVG) ist unbesehen der finanziellen Verhältnisse des Beschwerdeführers abzuweisen, da die Beschwerde gemäss den vorstehenden Erwägungen als aussichtslos zu bezeichnen ist, und es daher an einer gesetzlichen Grundlage zu deren Gewährung fehlt.</w:t>
      </w:r>
    </w:p>
    <w:p>
      <w:r>
        <w:rPr>
          <w:b/>
        </w:rPr>
        <w:t>E. 12</w:t>
      </w:r>
    </w:p>
    <w:p>
      <w:r>
        <w:t>Mit dem vorliegenden Urteil fällt der am 26. Juni 2020 verfügte Vollzugsstopp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