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F-3243/2016 vom 8. März 2018</w:t>
      </w:r>
    </w:p>
    <w:p>
      <w:r>
        <w:t>Bundesverwaltungsgericht, 2018-03-08, FR</w:t>
      </w:r>
    </w:p>
    <w:p>
      <w:r>
        <w:rPr>
          <w:b/>
        </w:rPr>
        <w:t xml:space="preserve">Quelle: </w:t>
      </w:r>
      <w:r>
        <w:t>https://mcp.opencaselaw.ch/entscheid/bvger_F-3243_2016</w:t>
      </w:r>
    </w:p>
    <w:p>
      <w:r>
        <w:t>FR: TAF F-3243/2016 du 8 mars 2018</w:t>
      </w:r>
    </w:p>
    <w:p>
      <w:r>
        <w:t>IT: TAF F-3243/2016 del 8 marzo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 sous réserve des recours déposés par des ressortissants d'un Etat membre de l'Union européenne, compte tenu de l'obligation pour la Suisse, prévue à l'art. 11 al. 1 et 3 ALCP [RS 0.142.112.681], d'instaurer un double degré de juridiction contre de telles décisions lorsqu'elles visent un ressortissant d'un Etat membre de l'Union européenne (cf. arrêt du Tribunal fédéral 2C_135/2017 du 21 février 2017 consid. 5 et jurisprudence citée).</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Une interdiction d'entrée peut notamment être prononcée lorsque l'étranger a violé les prescriptions du droit en matière d'étrangers (cf. le Message précité, FF 2002 3568).</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En l'occurrence, l'autorité inférieure a prononcé une décision d'interdiction d'entrée en Suisse d'une durée de six ans à l'encontre de A._______ (sous l'identité de B._______). Elle a considéré qu'une telle mesure d'éloignement s'imposait en raison du nombre et de la gravité des infractions commises par le prénommé durant sa présence sur le territoire helvétique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l'intéressé constitue une menace grave pour la sécurité et l'ordre publics autorisant le prononcé d'une mesure d'éloignement de plus de cinq ans, au sens de l'art. 67 al. 3 2ème phrase LEtr.</w:t>
      </w:r>
    </w:p>
    <w:p>
      <w:r>
        <w:rPr>
          <w:b/>
        </w:rPr>
        <w:t>E. 5.1</w:t>
      </w:r>
    </w:p>
    <w:p>
      <w:r>
        <w:t>En l'espèce, A._______ a fait l'objet de multiples condamnations pénales en Suisse pour vols, violation de domicile, violence ou menace contre les autorités et les fonctionnaires, dommages à la propriété, contraventions et délit selon l'art.19a et l'art. 19 al. 1 LStup, injure, dénonciation calomnieuse, entrées illégales et séjour illégal. Il s'impose de constater en outre que les condamnations pénales prononcées à l'endroit de A._______ s'élèvent au total à 735 jours de peines privatives de liberté (sur une période de quatre ans) et que le prénommé a démontré, par le caractère récidivant des infractions qu'il a commises en Suisse, que les condamnations prononcées à son endroit n'avaient guère d'influence sur son comportement.</w:t>
      </w:r>
    </w:p>
    <w:p>
      <w:r>
        <w:rPr>
          <w:b/>
        </w:rPr>
        <w:t>E. 5.2</w:t>
      </w:r>
    </w:p>
    <w:p>
      <w:r>
        <w:t>Dans son recours, A._______ s'est prévalu implicitement de l'art. 8 CEDH au regard des relations familiales entretenues avec G._______, devenue son épouse le 30 juin 2016, et avec leur fils H._______, tous deux ressortissants suisses.</w:t>
      </w:r>
    </w:p>
    <w:p>
      <w:r>
        <w:rPr>
          <w:b/>
        </w:rPr>
        <w:t>E. 5.3</w:t>
      </w:r>
    </w:p>
    <w:p>
      <w:r>
        <w:t>A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5.4</w:t>
      </w:r>
    </w:p>
    <w:p>
      <w:r>
        <w:t>Dans le cas d'espèce, il s'impose de rappeler d'abord que l'impossibilité pour le recourant de résider en Suisse auprès de son épouse et de son fils ne résulte pas de l'interdiction d'entrée objet du recours, mais découle primairement du fait qu'il n'a jamais été titulaire d'une autorisation de séjour dans ce pays. A._______ a d'abord résidé en Suisse durant plusieurs périodes en toute illégalité, avant d'obtenir une tolérance de séjour en vue de son mariage. Il appert que le SPOP a toutefois rejeté, par décision du 13 février 2017, sa demande d'autorisation de séjour et a prononcé son renvoi de Suisse et qu'il a ensuite déclaré irrecevable, le 27 novembre 2017, sa demande de reconsidération de cette décision. ll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familiales avec son épouse et son fils résidant en Suisse.</w:t>
      </w:r>
    </w:p>
    <w:p>
      <w:r>
        <w:rPr>
          <w:b/>
        </w:rPr>
        <w:t>E. 5.5</w:t>
      </w:r>
    </w:p>
    <w:p>
      <w:r>
        <w:t>Le Tribunal relève d'abord que la relation que le recourant entretient depuis 2012 avec G._______, relation concrétisée par la naissance de leur fils H._______ le 13 novembre 2013, n'a guère eu d'influence favorable sur son comportement, puisqu'il a fait l'objet de plusieurs condamnations pénales pour des faits postérieurs à la naissance de son fils. Il s'impose de remarquer en outre que, lors de leur mariage du 30 juin 2016, l'épouse du recourant connaissait le passé pénal de son époux, ainsi que l'interdiction d'entrée dont il faisait l'objet, et qu'elle devait ainsi envisager l'éventualité de vivre séparée de lui, s'il n'obtenait pas une autorisation de séjour à la suite de leur mariage. Force est de constater par ailleurs que les arguments avancés par le recourant, fondés sur sa situation familiale, ne permettent pas de conclure que le risque de récidive puisse être actuellement exclu. Le cumul des actes délictueux commis par l'intéressé depuis sa première venue en Suisse en 2012, ainsi que leur caractère récidivant, témoignent en effet de son incapacité chronique à s'adapter à l'ordre établi et conduit le Tribunal à devoir conclure qu'il n'est pas possible, en l'état, de poser un pronostic favorable quant à son comportement futur. Le Tribunal considère dès lors que l'intérêt public à l'éloignement du recourant prévaut sur l'intérêt privé contraire à pouvoir se rendre de temps à autre en dans ce pays pour y entretenir temporairement des relations familiales avec son épouse et son fils. La mesure d'éloignement prononcée à l'encontre de l'intéressé ne constitue au demeurant pas un obstacle insurmontable au maintien de relations familiales avec son épouse et son fils, dans la mesure où ceux-ci peuvent se rencontrer hors de Suisse ou, de manière ponctuelle, sur le territoire helvétique grâce à la délivrance de sauf-conduit en faveur du recourant. Aussi, après une pondération des intérêts publics et privés en présence et au regard de l'ensemble des circonstances de la cause, le Tribunal considère que l'interdiction d'entrée prononcée à son endroit ne contrevient pas à la disposition conventionnelle précitée, dès lors qu'une ingérence dans l'exercice du droit à la protection de la vie familiale se justifie dans le cas d'espèce, conformément à l'art. 8 par. 2 CEDH.</w:t>
      </w:r>
    </w:p>
    <w:p>
      <w:r>
        <w:rPr>
          <w:b/>
        </w:rPr>
        <w:t>E. 5.6</w:t>
      </w:r>
    </w:p>
    <w:p>
      <w:r>
        <w:t>Le Tribunal est par ailleurs amené à conclure que le recourant, par son comportement délictueux en Suisse, a indiscutablement attenté à la sécurité et à l'ordre publics, de sorte qu'il remplit les conditions d'application de l'art. 67 al. 2 let. a LEtr, si bien que la mesure d'interdiction d'entrée prononcée le 19 avril 2016 est justifiée dans son principe.</w:t>
      </w:r>
    </w:p>
    <w:p>
      <w:r>
        <w:rPr>
          <w:b/>
        </w:rPr>
        <w:t>E. 6</w:t>
      </w:r>
    </w:p>
    <w:p>
      <w:r>
        <w:t>Il convient ensuite de déterminer si la menace que A._______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6.1</w:t>
      </w:r>
    </w:p>
    <w:p>
      <w:r>
        <w:t>Ainsi que le Tribunal fédéral l'a retenu dans son arrêt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6.2</w:t>
      </w:r>
    </w:p>
    <w:p>
      <w:r>
        <w:t>Dans le cas particulier, le Tribunal ne saurait poser un pronostic favorable quant au comportement futur de l'intéressé et le risque de réitération d'actes délictueux de sa part ne saurait être sous-estimé. Le Tribunal estime toutefois, en l'état, que les infractions commises en Suisse par le recourant n'atteignent pas le degré de gravité requis pour justifier le prononcé d'une mesure d'éloignement allant au-delà de la durée maximale de cinq ans prévue à l'art. 67 al. 3 1ère phrase LEtr. Il apparaît certes que la gravité de certains des délits commis par le recourant (vols, dommages à la propriété, voies de fait, violence ou menace contre les autorités et les fonctionnaires) ne saurait être minimisée. Sur un autre plan, il convient d'admettre que les infractions à la LStup dont celui-ci s'est rendu coupable étaient en relation avec sa consommation personnelle et que les multiples infractions à la LEtr (entrées et séjours sans autorisation) qui lui sont reprochées doivent être replacées dans le contexte de la présence en Suisse de son épouse et de leur fils, avec lesquels le recourant a toujours entretenu des relations familiales étroites. En conséquence, au regard de l'ensemble des circonstances du cas particulier, et tout en avertissant le recourant qu'il eût suffi de peu de récidives supplémentaires, même en soi de peu de gravité, pour que son activité délictuelle fût constitutive d'une "menace grave" au sens du palier II défini par le Tribunal fédéral, le Tribunal de céans arrive à la conclusion que c'est à tort que l'autorité intimée a retenu l'existence d'une menace caractérisée au sens de l'art. 67 al. 3 2eme phrase LEtr. Il s'ensuit que la durée de la mesure d'éloignement prononcée à l'endroit du recourant ne saurait dépasser la durée maximale de cinq ans prévue à l'art. 67 al. 3 1ère phrase LEtr. 7.Il convient encore d'examiner la durée de la mesure d'éloignement prononcée à l'encontre du recourant au regard des principes de proportionnalité et de l'égalité de traitement. 7.1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 7.2 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La détermination de la durée d'une interdiction d'entrée dans un cas concret doit tenir compte en particulier de l'importance des biens juridiques menacés et des intérêts privés concernés (cf. ATAF 2014/20 consid. 8.2 et 8.3). 7.3 En l'espèce, le Tribunal observe que les motifs retenus à l'appui de la mesure d'éloignement prononcée par le SEM (soit les neuf condamnations dont le recourant a fait l'objet entre 2012 et 2015, notamment pour vols, voies de fait, injure, violation de domicile, violence ou menace contre les autorités et les fonctionnaires, dénonciation calomnieuse séjour illégal et contravention selon l'art. 19a LStup) ne sauraient être contestés. Il appert en outre que l'intéressé a encore fait l'objet de trois condamnations postérieurement au prononcé de la décision attaquée. Le Tribunal ne peut ainsi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circonstances qui pourraient plaider en faveur du recourant, soit la présence en Suisse de son épouse et de son fils, elles doivent être relativisées. On ne saurait en effet perdre de vue que l'impossibilité pour le recourant d'exercer des relations familiales régulières avec sa femme et son fils ne résulte pas primairement de la mesure d'éloignement litigieuse, mais découle du fait qu'il n'a pas d'autorisation de séjour en Suisse. Pour ce qui a trait à l'intérêt public, il sied de noter que les actes pour lesquels le recourant a été condamné sont d'une gravité certaine et justifient une intervention des autorités. On ne saurait en effet passer sous silence l'activité délictuelle continue que l'intéressé a déployée en Suisse durant de nombreuses années et il existe par conséquent un intérêt public indéniable à le tenir éloigné de Suisse, compte tenu du risque de récidive. 7.4 En conséquence, après une pondération des intérêts publics et privés en présence et au regard de l'ensemble des circonstances du cas d'espèce, le Tribunal considère que la durée de l'interdiction d'entrée querellée doit être fixée à cinq ans, soit la durée maximale envisageable dans le cas particulier.</w:t>
      </w:r>
    </w:p>
    <w:p>
      <w:r>
        <w:rPr>
          <w:b/>
        </w:rPr>
        <w:t>E. 8</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3.6). 9.C'est enfin à bon droit que le SEM n'a pas fait application, en l'espèce, de l'at. 67 al. 5 LEtr. Il ne ressort en effet pas du dossier que des raisons humanitaires ou d'autres motifs importants puissent justifier le renoncement au prononcé d'une mesure d'éloignement au vu de la nature et de la gravité des infractions commises par le recourant. 10.Le Tribunal relève enfin, s'agissant de la requête du recourant tendant à l'audition de son épouse, G._______, que l'état de fait pertinent lui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jurispruudence citée ; arrêts du Tribunal administratif fédéral C-8189/2010 du 6 novembre 2012 consid. 8.2 et références citées et C-1721/2011 du 28 mars 2012 consid. 7 et jurisprudence citée). 11.Il ressort de ce qui précède que le recours est partiellement admis et la décision du SEM du 19 avril 2016 réformée, en ce sens que les effets de l'interdiction d'entrée sont limités au 18 avril 2021. Dans la mesure où le recourant n'obtient que très partiellement gain de cause, il y a lieu de mettre des frais réduits de procédure à sa charge (cf. art. 63 al. 1 2ème phrase PA en relation avec les art. 1 à 3 du règlement du 21 février 2008 concernant les frais, dépens et indemnités fixés par le Tribunal administratif fédéral [FITAF, RS 172.320.2]). Obtenant partiellement gain de cause, le recourant a par ailleurs droit à des dépens réduits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conseil du recourant, dont le mandat a été résilié le 27 mars 2017, le Tribunal estime, considérant les art. 8 ss FITAF, que le versement d'un montant de 400 francs à titre de dépens partiels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