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F-3242/2023 vom 4. Mai 2023</w:t>
      </w:r>
    </w:p>
    <w:p>
      <w:r>
        <w:t>Bundesverwaltungsgericht, 2023-05-04, DE</w:t>
      </w:r>
    </w:p>
    <w:p>
      <w:r>
        <w:rPr>
          <w:b/>
        </w:rPr>
        <w:t xml:space="preserve">Quelle: </w:t>
      </w:r>
      <w:r>
        <w:t>https://mcp.opencaselaw.ch/entscheid/bvger_F-3242_2023_d20230504</w:t>
      </w:r>
    </w:p>
    <w:p>
      <w:r>
        <w:t>FR: TAF F-3242/2023 du 4 mai 2023</w:t>
      </w:r>
    </w:p>
    <w:p>
      <w:r>
        <w:t>IT: TAF F-3242/2023 del 4 maggio 2023</w:t>
      </w:r>
    </w:p>
    <w:p>
      <w:pPr>
        <w:pStyle w:val="Heading2"/>
      </w:pPr>
      <w:r>
        <w:t>Regeste</w:t>
      </w:r>
    </w:p>
    <w:p>
      <w:r>
        <w:t>Schengen-Visum | Schengen-Visum zu Besuchszwecken zugunsten von B.; Verfügung des SEM vom 4. Mai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hat am vorangegangenen Einspracheverfah- ren teilgenommen und ist als Gastgeberin und Tochter der Gesuchstellerin durch die angefochtene Verfügung besonders berührt. Sie ist zur Erhebung des Rechtsmittels legitimiert, zumal die Gesuchstellerin nach wie vor einen</w:t>
      </w:r>
    </w:p>
    <w:p>
      <w:r>
        <w:t>F-3242/2023 Seite 3 Besuch in der Schweiz anstrebt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F-3242/2023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Glaubwürdigkeit ihrer Aussagen oder der von ihr be- kundeten Absicht bestehen, das Hoheitsgebiet der Mitgliedstaaten vor</w:t>
      </w:r>
    </w:p>
    <w:p>
      <w:r>
        <w:t>F-3242/2023 Seite 5 Ablauf der Gültigkeit des beantragten Visums zu verlassen (Art. 32 Abs. 1 Bst. b VK).</w:t>
      </w:r>
    </w:p>
    <w:p>
      <w:r>
        <w:rPr>
          <w:b/>
        </w:rPr>
        <w:t>E. 4</w:t>
      </w:r>
    </w:p>
    <w:p>
      <w:r>
        <w:t>Strittig ist, ob die sri-lankische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laut dem Eidgenössischen Departement für auswärtige Angelegen- heiten die Gefahr von gewaltsamen Ausschreitungen, Streiks und Versor- gungsengpässen (vgl. https://www.eda.admin.ch/eda/de/home/vertretun- gen-und-reisehinweise/sri-lanka/reisehinweise-fuers- rilanka.html#eda57892d, abgerufen am 06.02.2024). Zutreffend führt die Vorinstanz daher an, die in Vavuniya wohnhafte Gesuchstellerin stamme aus einer Region, aus welcher der Zuwanderungsdruck – primär infolge wirtschaftlicher Not – nach wie vor stark anhalte (vgl. dazu Urteile des BVGer F-5515/2022 vom 3. Januar 2024 E. 6.2; F-433/2023 vom 6. Okto- ber 2023 E. 7.2; je m.w.H.). Somit ist nicht zu beanstanden, dass die Vorinstanz das Risiko einer nicht fristgerechten Wiederausreise als allge- mein hoch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F-3242/2023 Seite 6</w:t>
      </w:r>
    </w:p>
    <w:p>
      <w:r>
        <w:rPr>
          <w:b/>
        </w:rPr>
        <w:t>E. 4.4</w:t>
      </w:r>
    </w:p>
    <w:p>
      <w:r>
        <w:t>Die 57-jährige Gesuchstellerin ist verheiratet und lebt mit ihrem Ehe- mann und zwei erwachsenen Kindern in einem in ihrem Eigentum stehen- den Haus. Der Verbleib ihres Ehemanns in Sri Lanka lässt auf eine gewisse familiäre Verantwortung der Gesuchstellerin in ihrem Heimatland schlies- sen. Eine derartige Verantwortung kann zwar eine mögliche Gewähr für eine anstandslose Wiederausreise bieten (vgl. BVGE 2014/1 E. 6.3.1; 2009/27 E. 8). Die Erfahrung hat aber oftmals gezeigt, dass zurückblei- bende nahe Angehörige gerade in Situationen angespannter wirtschaftli- cher und/oder politischer Verhältnisse gesuchstellende Personen regel- mässig nicht verlässlich davon abhalten, den Entschluss für eine Emigra- tion zu fällen, sei dies etwa in der Hoffnung, die Zurückgebliebenen aus dem Ausland effizienter zu unterstützen oder später allenfalls gar nachzie- hen zu können (vgl. statt vieler: Urteil des BVGer F-4659/2023 vom 19. Ja- nuar 2024 E. 7.5.1). Dafür spricht, dass die in Vavuniya ansässige Gesuch- stellerin gemäss Abklärungen der Schweizerischen Vertretung in Colombo innerhalb Sri Lankas in einer Region mit besonders hohem Migrationsdruck wohnhaft ist. Insofern bietet die familiäre Situation der Gesuchstellerin keine besondere Gewähr für eine fristgerechte Wiederausreise. Zu berück- sichtigen ist ferner, dass die Gesuchstellerin in der Schweiz durch ihre hier lebende Tochter und deren Familie über ein vorbestehendes familiäres Be- ziehungsnetz verfügt, was das Emigrationsrisiko viel eher erhöht.</w:t>
      </w:r>
    </w:p>
    <w:p>
      <w:r>
        <w:rPr>
          <w:b/>
        </w:rPr>
        <w:t>E. 4.5</w:t>
      </w:r>
    </w:p>
    <w:p>
      <w:r>
        <w:t>In Bezug auf die finanziellen Verhältnisse ist aktenkundig, dass die Ge- suchstellerin gemäss Bankbestätigungen im Dezember 2022 über ein Ver- mögen von 5'245'387 sri-lankische Rupien (Fr. 14’517.–) verfügte. Die in ihrem Eigentum stehende Immobilie wies im Dezember 2022 einen Markt- wert von 10'700'000 sri-lankische Rupien (Fr. 29'612.–) auf. Gemäss eige- nen Angaben ist die Gesuchstellerin Rentnerin. Aus den Akten ist nicht er- sichtlich, mit welchen Mitteln sie ihren Lebensunterhalt bestreitet. Das gel- tend gemachte Renteneinkommen blieb gänzlich unbelegt. Eine zuverläs- sige Einschätzung ihrer Einkommens- und Vermögensverhältnisse ist so- mit nicht möglich. Vor diesem Hintergrund – und mit Blick auf das für Schweizer Verhältnisse ohnehin relativ geringe Vermögen, welches bei ei- ner Auswanderung nicht zwingend verloren geht (vgl. BVGE 2014/1 E. 6.3.6 m.H.) – kann entgegen den Ausführungen auf Beschwerdeebene – nicht von stabilen wirtschaftlichen Verhältnissen ausgegangen werden, welche die Gesuchstellerin von einer Emigration abzuhalten vermöchten. Soweit die Beschwerdeführerin vorbringt, die allgemeine Lage in Sri Lanka dürfe nicht zur Annahme führen, dass sri-lankische Staatsangehörige nicht fristgerecht aus dem Schengen-Raum ausreisen würden, ist auf die Aus- führungen zur schlechten Sicherheits- und Wirtschaftslage in Sri Lanka zu</w:t>
      </w:r>
    </w:p>
    <w:p>
      <w:r>
        <w:t>F-3242/2023 Seite 7 verweisen (siehe E. 4.2 hiervor). Ein gewisser Schematismus kann in die- sem Zusammenhang zwar nicht in Abrede gestellt werden. Visumverwei- gerungen erfolgend aber nicht pauschal aufgrund der Staatszugehörigkeit, sondern unter Vornahme einer Einzelfallprüfung. Die Vorinstanz nahm im Rahmen einer Gesamtwürdigung umfassend auf die persönlichen Lebens- umstände der Gesuchstellerin Bezug. Dass dabei Gesuchstellenden in ähnlichen Lebenssituationen – unter Berücksichtigung der Besonderheiten des Einzelfalls – grundsätzlich ein gleicher Entscheid zukommt, spricht denn auch für eine rechtsgleiche Anwendung der Voraussetzungen bei der Prüfung einer Visumerteilung.</w:t>
      </w:r>
    </w:p>
    <w:p>
      <w:r>
        <w:rPr>
          <w:b/>
        </w:rPr>
        <w:t>E. 5</w:t>
      </w:r>
    </w:p>
    <w:p>
      <w:r>
        <w:t>Die Vorinstanz ging zu Recht davon aus, die fristgerechte Wiederausreise der Gesuchstellerin sei nicht hinreichend gesichert. An dieser Einschät- zung vermag die Bereitschaft der Beschwerdeführerin zur Hinterlegung ei- ner Garantiesumme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In Bezug auf das Vorbrin- gen der Beschwerdeführerin, sie sei auf Unterstützung der Gesuchstellerin bei der Kinderbetreuung angewiesen, ist darauf hinzuweisen, dass weder das nationale Recht noch das Schengen-Recht einen Anspruch auf Visu- merteilung beziehungsweise Einreise gewährt (siehe E. 3.2 hiervor). Der Kontakt zwischen der Gesuchstellerin und der Beschwerdeführerin, welche in der Schweiz als Flüchtling anerkannt wurde, kann durch persönliche Treffen in einem Drittstaat oder mittels elektronischer Kommunikationsmit- tel aufrechterhalten werden. Die Vorinstanz hat das nachgesuchte Visum für den Schengen-Raum zu Recht verweigert.</w:t>
      </w:r>
    </w:p>
    <w:p>
      <w:r>
        <w:rPr>
          <w:b/>
        </w:rPr>
        <w:t>E. 6</w:t>
      </w:r>
    </w:p>
    <w:p>
      <w:r>
        <w:t>Schliesslich hat die Vorinstanz unter Bezugnahme auf die Schilderungen der Gesuchstellerin und die eingereichten Beweismittel deren individuelle Situation konkret geprüft. Es ist weder dargetan noch ersichtlich, inwiefern weitere Abklärungen hätten vorgenommen werden müssen. Damit liegt der Verfügung keine den Untersuchungsgrundsatz (Art. 12 VwVG) missach- tende, unrichtige, unvollständige oder willkürliche Feststellung des rechts- erheblichen Sachverhalts zugrunde. Der Umstand, dass die Beschwerde- führerin die Schlussfolgerungen der Vorinstanz nicht teilt, stellt keine Ver- letzung der Pflicht zur vollständigen oder richtigen Sachverhaltsabklärung dar, sondern betrifft vielmehr die Frage der rechtlichen Würdigung der</w:t>
      </w:r>
    </w:p>
    <w:p>
      <w:r>
        <w:t>F-3242/2023 Seite 8 vorliegenden Beweise. Der Eventualantrag auf Rückweisung der Sache an die Vorinstanz zur Neubeurteilung ist abzuweisen.</w:t>
      </w:r>
    </w:p>
    <w:p>
      <w:r>
        <w:rPr>
          <w:b/>
        </w:rPr>
        <w:t>E. 7</w:t>
      </w:r>
    </w:p>
    <w:p>
      <w:r>
        <w:t>Im Ergebnis erweist sich die angefochtene Verfügung als rechtmässig (Art. 49 VwVG). Die Beschwerde ist abzuweisen.</w:t>
      </w:r>
    </w:p>
    <w:p>
      <w:r>
        <w:rPr>
          <w:b/>
        </w:rPr>
        <w:t>E. 8</w:t>
      </w:r>
    </w:p>
    <w:p>
      <w:r>
        <w:t>Entsprechend dem Verfahrensausgang sind die Kosten der unterliegenden Beschwerdeführerin aufzuerlegen und auf Fr. 800.–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nachfolgende Seite)</w:t>
      </w:r>
    </w:p>
    <w:p>
      <w:r>
        <w:t>F-3242/2023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