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F-3241/2016 vom 21. September 2017</w:t>
      </w:r>
    </w:p>
    <w:p>
      <w:r>
        <w:t>Bundesverwaltungsgericht, 2017-09-21, DE</w:t>
      </w:r>
    </w:p>
    <w:p>
      <w:r>
        <w:rPr>
          <w:b/>
        </w:rPr>
        <w:t xml:space="preserve">Quelle: </w:t>
      </w:r>
      <w:r>
        <w:t>https://mcp.opencaselaw.ch/entscheid/bvger_F-3241_2016</w:t>
      </w:r>
    </w:p>
    <w:p>
      <w:r>
        <w:t>FR: TAF F-3241/2016 du 21 septembre 2017</w:t>
      </w:r>
    </w:p>
    <w:p>
      <w:r>
        <w:t>IT: TAF F-3241/2016 del 21 settembre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20. April 2016 ist Art. 67 AuG, der in den Absätzen 1 und 2 eine Reihe von Tatbeständen aufführt, die ein Einreiseverbot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die Dauer von höchstens fünf Jahren verfügt, kann aber für eine längere Dauer angeordnet werden, wenn von der ausländischen Person eine schwerwiegende Gefahr für die öffentliche Sicherheit und Ordnung ausgeht (Art. 67 Abs. 3 zweiter Satz AuG; ferner BVGE 2014/20 E. 5). Schliesslich kann die verfügende Behörde ausnahmsweise aus humanitären oder anderen wichtigen Gründen von der Verhängung eines Einreiseverbots absehen oder ein Einreiseverbot endgültig oder vorübergehend aufheben (Art. 67 Abs. 5 AuG).</w:t>
      </w:r>
    </w:p>
    <w:p>
      <w:r>
        <w:rPr>
          <w:b/>
        </w:rPr>
        <w:t>E. 3.2</w:t>
      </w:r>
    </w:p>
    <w:p>
      <w:r>
        <w:t>Das in Art. 67 AuG geregelte Einreiseverbot ist keine Sanktion für vergangenes Fehlverhalten,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aller polizeilicher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Anordnungen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F-4842/2016 vom 20. April 2017 E. 4.2 m.H.).</w:t>
      </w:r>
    </w:p>
    <w:p>
      <w:r>
        <w:rPr>
          <w:b/>
        </w:rPr>
        <w:t>E. 3.3</w:t>
      </w:r>
    </w:p>
    <w:p>
      <w:r>
        <w:t>Die in Art. 67 Abs. 3 AuG statuierte Regelhöchstdauer eines Einreiseverbots beträgt fünf Jahre. Stellt die betroffene Person jedoch eine schwerwiegende Gefahr für die öffentliche Sicherheit und Ordnung dar, kann diese Dauer wie erwähnt überschritten werden. Allerdings kam das Bundesverwaltungsgericht in BVGE 2014/20 zum Schluss, dass von der Vorinstanz verhängte Einreiseverbote zwingend zu befristen sind (E. 6.9). Weiter befasste sich das Bundesverwaltungsgericht in diesem Urteil mit der Frage nach der Höchstdauer solcher Einreiseverbote und entschied, dass diese grundsätzlich fünfzehn Jahre beträgt; nur im Wiederholungsfall kann die Dauer zwanzig Jahre betragen (E. 7).</w:t>
      </w:r>
    </w:p>
    <w:p>
      <w:r>
        <w:rPr>
          <w:b/>
        </w:rPr>
        <w:t>E. 3.4</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der SIS-II-Verordnung sowie Art. 20-22 der Verordnung über den nationalen Teil des Schengener Informationssystems (N-SIS) und das SIRENE-Büro (N-SIS-Verordnung vom 8. März 2013 [SR 362.0]).</w:t>
      </w:r>
    </w:p>
    <w:p>
      <w:r>
        <w:rPr>
          <w:b/>
        </w:rPr>
        <w:t>E. 3.5</w:t>
      </w:r>
    </w:p>
    <w:p>
      <w:r>
        <w:t>Der Beschwerdeführer kann als Drittstaatsangehöriger grundsätzlich zur Einreise- und Aufenthaltsverweigerung im SIS ausgeschrieben werden. Die von ihm begangenen Delikte (Urteil vom 8. Februar 2016) erfüllen den von Art. 24 Ziff. 2 Bst. a SIS-II-VO verlangten Schweregrad, sodass grundsätzlich von einem gemeinsamen öffentlichen Interesse der Schweiz und der übrigen Schengen-Staaten an einer Ausschreibung des Einreiseverbots auszugehen ist (vgl. Urteil des BVGer F-448/2015 vom 25. Juli 2016 E. 6.4). Soweit steht einer Ausschreibung im SIS nichts entgegen. Einzelfallweise bestehen weitere Lockerungsmöglichkeiten (bezogen auf die Einreise in die Schweiz siehe bspw. die Möglichkeit der Suspension des Einreiseverbots gemäss Art. 67 Abs. 5 AuG; nachfolgend E. 6.4).</w:t>
      </w:r>
    </w:p>
    <w:p>
      <w:r>
        <w:rPr>
          <w:b/>
        </w:rPr>
        <w:t>E. 4</w:t>
      </w:r>
    </w:p>
    <w:p>
      <w:r>
        <w:t>Der Beschwerdeführer hat sich gemäss Anklageschrift der Staatsanwaltschaft vom 21. Dezember 2015 Folgendes zu Schulden kommen lassen: Im Zeitraum zwischen März 2014 und November 2014 hat er Bargeldbeträge in der Gesamthöhe von Fr. 478'000.- im Rahmen seiner Carchauf-feurtätigkeit von der Schweiz nach Serbien transportiert oder transportieren lassen, im Wissen darum, dass es sich hierbei um Gelder handelte, die aus dem Erlös eines Heroinhandels stammten und für einen sich in Serbien aufhaltenden, unbekannten Auftraggeber bestimmt waren. Indem der Beschwerdeführer diese Bargeldbeträge von der Schweiz nach Serbien transportierte, unterstützte er wissentlich und willentlich in wirtschaftlicher Hinsicht den Handel mit mehreren Kilogramm Heroin durch diese nicht bekannten und aus Serbien fungierenden Auftraggeber bzw. Heroinlieferanten und verhinderte damit willentlich die Auffindung und Einziehung dieser Gelder. Das Bezirksgericht Zürich hat diese Tatbestände in seinem Urteil vom 8. Februar 2016 mit einer Freiheitsstrafe von 30 Monaten, unter Berücksichtigung der Vorstrafenlosigkeit, des Geständnisses, der Kooperation im Strafverfahren und der Strafen der übrigen Beteiligten, abgeurteilt.</w:t>
      </w:r>
    </w:p>
    <w:p>
      <w:r>
        <w:rPr>
          <w:b/>
        </w:rPr>
        <w:t>E. 5.1</w:t>
      </w:r>
    </w:p>
    <w:p>
      <w:r>
        <w:t>Das angefochtene Einreiseverbot gilt für eine Dauer von sechs Jahren. In einem nächsten Schritt ist deshalb zu prüfen, ob die Voraussetzungen gemäss Art. 67 Abs. 3 zweiter Satz AuG (schwerwiegende Gefahr für die öffentliche Sicherheit und Ordnung) erfüllt sind, was die Verhängung einer mehr als fünfjährigen Fernhaltemassnahme zulässt. Dies wird von der Rechtsvertreterin hauptsächlich bestritten.</w:t>
      </w:r>
    </w:p>
    <w:p>
      <w:r>
        <w:rPr>
          <w:b/>
        </w:rPr>
        <w:t>E. 5.2</w:t>
      </w:r>
    </w:p>
    <w:p>
      <w:r>
        <w:t>Die Annahme einer schwerwiegenden Gefahr für die öffentliche Sicherheit und Ordnung im Sinne von Art. 67 Abs. 3 zweiter Satz AuG setzt mehr voraus als eine blosse Störung oder einfache Gefährdung polizeilicher Schutzgüter. Verlangt wird vielmehr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oder sexuelle Integrität und Gesundheit) oder aus der Zugehörigkeit des drohenden Deliktes zur besonders schweren Kriminalität mit grenzüberschreitender Dimension ergeben. Zu den letzteren Kriminalbereichen zählen namentlich der Terrorismus, der Menschen- und der Drogenhandel sowie die organisierte Kriminalität. Eine entsprechende qualifizierte Gefährdung kann sich überdies aus einer zunehmend schweren Delinquenz bei Wiederholungstätern mit ungünstiger Prognose ergeben.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3 zweiter Satz AuG genannte Höchstdauer von fünf Jahren überschreiten.</w:t>
      </w:r>
    </w:p>
    <w:p>
      <w:r>
        <w:rPr>
          <w:b/>
        </w:rPr>
        <w:t>E. 5.3</w:t>
      </w:r>
    </w:p>
    <w:p>
      <w:r>
        <w:t>Eine Störung der öffentlichen Sicherheit und Ordnung durch Drogendelinquenz sowie Geldwäschereihandlungen kann nach dem soeben Gesagten schon allein angesichts der besonderen Hochwertigkeit der involvierten Rechtsgüter als Grundlage für die Annahme der schwerwiegenden Gefahr im Sinne von Art. 67 Abs. 3 zweiter Satz AuG dienen (BGE 139 II 121 E. 6.3 in fine). Vorausgesetzt wird allerdings, dass die Wahrscheinlichkeit der Realisierung hinreichend gross ist. Sie muss signifikant höher sein als diejenige, die der Annahme einer rechtlichen relevanten Gefahr im Sinne von Art. 67 Abs. 2 Bst. a AuG zugrunde liegt (vgl. Urteil des BVGer F-7607/2015 vom 25. Juli 2016 E. 6.3. m.H.).</w:t>
      </w:r>
    </w:p>
    <w:p>
      <w:r>
        <w:rPr>
          <w:b/>
        </w:rPr>
        <w:t>E. 5.4</w:t>
      </w:r>
    </w:p>
    <w:p>
      <w:r>
        <w:t>Der Beschwerdeführer ist - wie in E. 4 ausgeführt - mit dem Gesetz in Konflikt geraten und hat sich in einem sensiblen Bereich strafbar gemacht. Nebst Sexual- und Gewaltverbrechen zählen Verbrechen und Vergehen gegen das Betäubungsmittelgesetz und die damit im Zusammenhang stehenden Handlungen zu diesen Verhaltensweisen, weshalb ein strengerer Massstab gerechtfertigt ist. Es besteht daher ein manifestes Interesse daran, den Betroffenen längerfristig aus der Schweiz fernzuhalten, nicht zuletzt deshalb, weil das deliktische Verhalten des Beschwerdeführers während eines Zeitraums von rund neun Monaten von einer erheblichen kriminellen Energie zeugt. Der Beschwerdeführer wusste oder nahm es zumindest billigend in Kauf, dass es sich bei den Bargeldbeträgen in einer Gesamthöhe von Fr. 478'000.- um den Erlös aus dem vorgängig auf dem Gebiet der Stadt Zürich erfolgten Heroinverkauf handelte. Damit hat er auch wissen oder zumindest annehmen müssen, dass er durch die Hilfeleistung, Betäubungsmittel unbefugt zu veräussern, die Gesundheit vieler Menschen in Gefahr gebracht hat, weshalb dem Beschwerdeführer zu Recht ein erhebliches Verschulden attestiert worden ist.</w:t>
      </w:r>
    </w:p>
    <w:p>
      <w:r>
        <w:rPr>
          <w:b/>
        </w:rPr>
        <w:t>E. 5.5</w:t>
      </w:r>
    </w:p>
    <w:p>
      <w:r>
        <w:t>Als Zwischenergebnis ist festzustellen, dass der Beschwerdeführer nicht nur den Fernhaltegrund einer Verletzung der öffentlichen Sicherheit und Ordnung im Sinne von Art. 67 Abs. 2 Bst. a erster Halbsatz AuG gesetzt hat. Darüber hinaus liegt gegen ihn auch der qualifizierte Fernhaltegrund einer schwerwiegenden Gefährdung für die öffentliche Sicherheit und Ordnung im Sinne von Art. 67 Abs. 2 zweiter Satz AuG vor. Die Regelmaximaldauer eines Einreiseverbots von fünf Jahren kann von daher überschritten werden.</w:t>
      </w:r>
    </w:p>
    <w:p>
      <w:r>
        <w:rPr>
          <w:b/>
        </w:rPr>
        <w:t>E. 6.1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Das Fehlverhalten des Beschwerdeführers wiegt objektiv gesehen schwer. Ausländische Straftäter, die durch Mitwirkung bei der Verbreitung harter Drogen die Gesundheit anderer gefährden oder beeinträchtigen, sind nach Möglichkeit von der Schweiz fernzuhalten. Damit soll der weiteren Ausbreitung des verbotenen Handels mit Betäubungsmitteln entgegen gewirkt werden. Aufgrund der relativen Häufigkeit solcher Taten ist zum Schutz der Allgemeinheit durch eine kontinuierliche und strenge Verwaltungspraxis zu verdeutlichen, dass Widerhandlungen gegen das Betäubungsmittelgesetz mit langjährigen Fernhaltemassnahmen geahndet werden. Der Schutz der öffentlichen Sicherheit und Gesundheit ist dabei durch Abschreckung nicht nur des jeweiligen Straftäters, sondern auch anderer potentieller Rechtsbrecher weitest möglich zu gewährleisten (vgl. zur strengen Praxis des Bundesgerichts BGE 139 I 31 E. 2.3.2 m.H.).</w:t>
      </w:r>
    </w:p>
    <w:p>
      <w:r>
        <w:rPr>
          <w:b/>
        </w:rPr>
        <w:t>E. 6.3</w:t>
      </w:r>
    </w:p>
    <w:p>
      <w:r>
        <w:t>Auch in subjektiver Hinsicht kann das Fehlverhalten des Beschwerdeführers entgegen der Ausführungen der Parteivertreterin weder im fraglichen Bereich noch generell relativiert oder bagatellisiert werden. Als unzutreffend erweist sich insbesondere die Behauptung, ihr Mandant sei nie aktiv im Drogenhandel tätig gewesen. Hierbei verkennt sie, dass der Beschwerdeführer durch seine Geldbotengänge sehr wohl am Drogenhandel teilgenommen und zur Vereitelung der Herkunft der Gelder einen wesentlichen Beitrag geleistet hat. Das Strafgericht ging denn, wie an anderer Stelle erwähnt, von einem erheblichen Verschulden aus. Des Weiteren läuft noch die zweijährige Probezeit weshalb von Wohlverhalten oder günstiger Prognose nur insoweit die Rede sein kann, als dass der Beschwerdeführer noch unter dem Druck derselben steht und von einem Wandel deshalb nicht ausgegangen werden kann, weil die seit der Haftentlassung verstrichene Zeit noch zu kurz ist. Nicht ausser Acht gelassen werden darf jedoch, dass sich die Vorstrafenlosigkeit, das Geständnis und die Kooperation im Strafverfahren bei der Bemessung der Gefängnisstrafe strafmildernd ausgewirkt haben.</w:t>
      </w:r>
    </w:p>
    <w:p>
      <w:r>
        <w:rPr>
          <w:b/>
        </w:rPr>
        <w:t>E. 6.4</w:t>
      </w:r>
    </w:p>
    <w:p>
      <w:r>
        <w:t>Den öffentlichen Interessen sind die privaten Interessen des Beschwerdeführers gegenüberzustellen. Der Beschwerdeführer bestreitet nicht, gegen die öffentliche Sicherheit und Ordnung verstossen zu haben, sondern stellt sich auf den Standpunkt, dass von ihm keine schwerwiegende Gefahr ausgehe und ein Einreiseverbot von zwei Jahren gerechtfertigt erscheine. Zudem möchte er weiterhin als Buschauffeur arbeiten und sei deshalb darauf angewiesen, wieder in den Schengen-Raum einreisen zu können.</w:t>
      </w:r>
    </w:p>
    <w:p>
      <w:r>
        <w:rPr>
          <w:b/>
        </w:rPr>
        <w:t>E. 6.5</w:t>
      </w:r>
    </w:p>
    <w:p>
      <w:r>
        <w:t>Das öffentliche Interesse an einer befristeten Fernhaltung des Beschwerdeführers lässt sich mit dem von ihm geltend gemachten beruflichen Interesse (Einschränkung in der Ausübung seiner beruflichen Tätigkeit als Carchauffeur) nicht ernsthaft in Frage stellen. Dem Beschwerdeführer sind Einreisen in die Schweiz nicht per se untersagt, bleibt es ihm doch freigestellt, aus wichtigen Gründen mittels Gesuch die zeitweilige Suspension der angeordneten Fernhaltemassnahme zu beantragen (Art. 67 Abs. 5 AuG). Diese wird jedoch praxisgemäss nur für eine kurze und klar begrenzte Zeit gewährt (vgl. Urteil des BVGer F-7521/2015 vom 20. Dezember 2016 E. 6.3 m.H.). Im Weiteren stünde sämtlichen Schengen-Mitgliedstaaten die Möglichkeit offen, betroffenen Personen auf Gesuch hin die Einreise in das eigene Hoheitsgebiet zu gestatten bzw. ein Visum mit räumlich beschränkter Gültigkeit auszustellen. Die mit dem Einreiseverbot verbundenen Einschränkungen sind somit zu relativieren und vom Beschwerdeführer in Kauf zu nehmen.</w:t>
      </w:r>
    </w:p>
    <w:p>
      <w:r>
        <w:rPr>
          <w:b/>
        </w:rPr>
        <w:t>E. 6.6</w:t>
      </w:r>
    </w:p>
    <w:p>
      <w:r>
        <w:t>Zusammenfassend kann festgehalten werden, dass vom Beschwerdeführer - angesichts seines Vergehens in einem besonders sensitiven Bereich als auch in Anlehnung an die ständige Rechtsprechung - nach wie vor eine schwerwiegende Gefahr für die öffentliche Sicherheit und Ordnung ausgeht (vgl. Urteil des BVGer F-5094/2014 vom 15. Juli 2016 E. 7). Eine wertende Gewichtung der sich entgegenstehenden öffentlichen und privaten Interessen führt das Bundesverwaltungsgericht zum Ergebnis, dass das auf sechs Jahre befristete Einreiseverbot, einhergehend mit einer Ausschreibung im SIS, sowohl vom Grundsatz her als auch in Bezug auf die Dauer eine verhältnismässige und angemessene Massnahme zum Schutz der öffentlichen Sicherheit und Ordnung darstellt. Dies auch unter Berücksichtigung der Tatsache, dass sich der Beschwerdeführer selber der strafrechtlichen Verfolgung gestellt und beim Verfahren kooperiert hat, weshalb das angesichts der abgeurteilten Straftaten in der Regel deutlich höher ausfallende Einreiseverbot zu bestätigen ist.</w:t>
      </w:r>
    </w:p>
    <w:p>
      <w:r>
        <w:rPr>
          <w:b/>
        </w:rPr>
        <w:t>E. 7</w:t>
      </w:r>
    </w:p>
    <w:p>
      <w:r>
        <w:t>Aus diesen Erwägungen ergibt sich, dass die angefochtene Verfügung im Lichte von Art. 49 VwVG nicht zu beanstanden ist. Die Beschwerde ist deshalb abzuweisen.</w:t>
      </w:r>
    </w:p>
    <w:p>
      <w:r>
        <w:rPr>
          <w:b/>
        </w:rPr>
        <w:t>E. 8</w:t>
      </w:r>
    </w:p>
    <w:p>
      <w:r>
        <w:t>Entsprechend dem Ausgang des Verfahrens sind dem Beschwerdeführer die Kosten aufzuerlegen (Art. 63 Abs. 1 VwVG i.V.m. Art. 1 ff. des Reglements vom 21. Februar 2008 über Kosten und Entschädigungen vor dem Bundesverwaltungsgericht [VGKE; SR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