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F-3239/2023 vom 14. Juni 2023</w:t>
      </w:r>
    </w:p>
    <w:p>
      <w:r>
        <w:t>Bundesverwaltungsgericht, 2023-06-14, DE</w:t>
      </w:r>
    </w:p>
    <w:p>
      <w:r>
        <w:rPr>
          <w:b/>
        </w:rPr>
        <w:t xml:space="preserve">Quelle: </w:t>
      </w:r>
      <w:r>
        <w:t>https://mcp.opencaselaw.ch/entscheid/bvger_F-3239_2023</w:t>
      </w:r>
    </w:p>
    <w:p>
      <w:r>
        <w:t>FR: TAF F-3239/2023 du 14 juin 2023</w:t>
      </w:r>
    </w:p>
    <w:p>
      <w:r>
        <w:t>IT: TAF F-3239/2023 del 14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Beschwerdeführerinnen sind zur Beschwerdeanhebung legitimiert (Art. 48 Abs. 1 VwVG). Auf die frist- und formgerecht eingereichten Beschwerden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Beschwerden erweisen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sind (Art. 111a Abs. 1 und 2 AsylG).</w:t>
      </w:r>
    </w:p>
    <w:p>
      <w:r>
        <w:rPr>
          <w:b/>
        </w:rPr>
        <w:t>E. 2.3</w:t>
      </w:r>
    </w:p>
    <w:p>
      <w:r>
        <w:t>Angesichts des engen persönlichen und sachlichen Zusammenhangs sind die beiden Beschwerdeverfahren antragsgemäss zu vereinigen.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3.3</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3.4</w:t>
      </w:r>
    </w:p>
    <w:p>
      <w:r>
        <w:t>Im Rahmen eines Wiederaufnahmeverfahrens (engl.: take back)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3.5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3.6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4.1</w:t>
      </w:r>
    </w:p>
    <w:p>
      <w:r>
        <w:t>Abgleiche der Fingerabdrücke der Beschwerdeführerinnen mit der Eu-rodac-Datenbank ergaben, dass diese vor ihrer Einreise in die Schweiz am 1. März 2023 in Kroatien um Asyl nachgesucht hatten, weshalb das SEM zu Recht gestützt auf Art. 18 Abs. 1 Bst. b Dublin-III-VO die kroatischen Behörden um Wiederaufnahme der Beschwerdeführerinnen ersuchte. Diese haben den Wiederaufnahmegesuchen des SEM innert der in Art. 25 Abs. 1 Dublin-III-VO festgelegten Frist ausdrücklich zugestimmt.</w:t>
      </w:r>
    </w:p>
    <w:p>
      <w:r>
        <w:rPr>
          <w:b/>
        </w:rPr>
        <w:t>E. 4.2</w:t>
      </w:r>
    </w:p>
    <w:p>
      <w:r>
        <w:t>Die Tatsache, dass die Beschwerdeführerinnen ihren Angaben zufolge in Kroatien kein Asylgesuch stellen wollten, vermag die Zuständigkeit der kroatischen Behörden nicht in Frage zu stellen. Die Zuständigkeit eines Dublin-Mitgliedstaates zur Durchführung eines Asyl- und Wegweisungsverfahrens bestimmt sich unabhängig vom Willen einer asylsuchenden Person nach objektiven, in der Dublin-III-VO festgelegten Kriterien. Es ist ausserdem unbestritten, dass die Beschwerdeführerinnen über Kroatien illegal in das Hoheitsgebiet der Dublin-Mitgliedstaaten gelangten. Somit wäre die Zuständigkeit Kroatiens auch dann begründet worden, wenn die Beschwerdeführerinnen dort kein Asylgesuch gestellt hätten (in diesem Sinne vgl. auch das Urteil des BVGer D-2111/2023, D-2114/2023 und D-2119/2023 vom 27. April 2023 S. 8).</w:t>
      </w:r>
    </w:p>
    <w:p>
      <w:r>
        <w:rPr>
          <w:b/>
        </w:rPr>
        <w:t>E. 4.3</w:t>
      </w:r>
    </w:p>
    <w:p>
      <w:r>
        <w:t>Somit ist die grundsätzliche Zuständigkeit Kroatiens für die Durchführung des Asyl- und Wegweisungsverfahrens gegeben.</w:t>
      </w:r>
    </w:p>
    <w:p>
      <w:r>
        <w:rPr>
          <w:b/>
        </w:rPr>
        <w:t>E. 5</w:t>
      </w:r>
    </w:p>
    <w:p>
      <w:r>
        <w:t>In den Beschwerden wird auf die Gewalt der kroatischen Behörden gegenüber illegal eingereisten Ausländern und Asylsuchenden hingewiesen und aufgrund geltend gemachter systemischer Mängel im Asyl- und Aufnahmesystems Kroatiens die Anwendung von Art. 3 Abs. 2 Sätze 2 und 3 Dublin-III-VO gefordert.</w:t>
      </w:r>
    </w:p>
    <w:p>
      <w:r>
        <w:rPr>
          <w:b/>
        </w:rPr>
        <w:t>E. 5.1</w:t>
      </w:r>
    </w:p>
    <w:p>
      <w:r>
        <w:t>Im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Sätze 2 und 3 Dublin-III-VO auf, die eine Überstellung von Gesuchstellenden generell als unzulässig erscheinen lassen würden (vgl. E-1488/2020 E. 9.5). Der - angesichts der in E. 9.4.2 f. des Urteils dargelegten Situation prima vista nicht unbegründete -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heutigen Zeitpunkt würden keine genügenden Anzeichen für die Befürchtung bestehen,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Take-Back-Verfahren handle. Insbesondere bestehe keine beachtliche Wahrscheinlichkeit, die Überstellten würden der Gefahr einer Verletzung ihrer aus dem Refoulement-Verbot fliessenden Rechte ausgesetzt werden (vgl. a.a.O. E. 9.5).</w:t>
      </w:r>
    </w:p>
    <w:p>
      <w:r>
        <w:rPr>
          <w:b/>
        </w:rPr>
        <w:t>E. 5.2</w:t>
      </w:r>
    </w:p>
    <w:p>
      <w:r>
        <w:t>An dieser aktuellen Beurteilung des Bundesverwaltungsgerichts, wonach das kroatische Asyl- und Aufnahmesystem keine systemischen Schwachstellen aufweist, vermögen die Vorbringen der Beschwerdeführerinnen nichts zu ändern. Unter diesen Umständen ist die Anwendung von Art. 3 Abs. 2 Dublin-III-VO nicht gerechtfertigt.</w:t>
      </w:r>
    </w:p>
    <w:p>
      <w:r>
        <w:rPr>
          <w:b/>
        </w:rPr>
        <w:t>E. 6</w:t>
      </w:r>
    </w:p>
    <w:p>
      <w:r>
        <w:t>Des Weiteren machen die Beschwerdeführerinnen ein Abhängigkeitsverhältnis im Sinne von Art. 16 Dublin-III-VO zwischen ihnen und ihrer in der Schweiz lebenden Familie (Vater, Mutter und Bruder) geltend und leiten daraus eine Zuständigkeit der Schweiz ab.</w:t>
      </w:r>
    </w:p>
    <w:p>
      <w:r>
        <w:rPr>
          <w:b/>
        </w:rPr>
        <w:t>E. 6.1</w:t>
      </w:r>
    </w:p>
    <w:p>
      <w:r>
        <w:t>Ist ein Antragssteller insbesondere wegen schwerer Krankheit, ernsthafter Behinderung oder hohen Alters auf die Unterstützung seines Kindes, eines seiner Geschwister oder eines Elternteils angewiesen, das/der sich rechtmässig in einem Mitgliedstaat aufhält, oder trifft die umgekehrte Konstellation zu, so entscheiden die Mitgliedstaaten in der Regel, die Beteiligten nicht zu trennen beziehungsweise sie zusammenzuführen, sofern die familiäre Bindung bereits im Herkunftsland bestanden hat, der nahe Angehörige in der Lage ist, die abhängige Person zu unterstützen und die Betroffenen diesen Wunsch schriftlich kundgetan haben. Die Nichtanwendung der Zuständigkeitsbestimmung von Art. 16 Abs. 1 Dublin-III-VO kann im Einzelfall menschenrechtswidrig sein und einen Ermessensmissbrauch darstellen. Sind die Voraussetzungen von Art. 16 Abs. 1 Dublin-III-VO gegeben und halten sich die betroffenen Personen in demselben Mitgliedstaat auf, hat sich die entscheidende Behörde für zuständig zu erklären (vgl. Urteile des BVGer F-1568/2022 vom 12. April 2022 E. 7 und F-280/2021 vom 22. Juli 2021 E. 6 m.w.H.).</w:t>
      </w:r>
    </w:p>
    <w:p>
      <w:r>
        <w:rPr>
          <w:b/>
        </w:rPr>
        <w:t>E. 6.2</w:t>
      </w:r>
    </w:p>
    <w:p>
      <w:r>
        <w:t>Im konkreten Fall ist jedoch das Bestehen eines hinreichenden Abhängigkeitsverhältnisses im Sinne der genannten Bestimmung zwischen den Beschwerdeführerinnen und ihrer Familie zu verneinen. Das Gericht verkennt nicht, dass insbesondere der Vater unter erheblichen gesundheitlichen Beeinträchtigungen leidet (komplexe posttraumatische Belastungsstörung, rezidivierende depressive Störung, chronische Schmerzstörung mit somatischen und psychischen Faktoren; vgl. dazu den psychotherapeutischen Verlaufsbericht vom 6.6.2023) und die Anwesenheit seiner Töchter einen stabilisierenden Einfluss auf seine Lebenssituation ausüben könnte. Den Akten ist jedoch kein Hinweis darauf zu entnehmen, dass der Vater, der in der Schweiz auf die Unterstützung seiner Frau und seines Sohnes zählen kann, für die Bewältigung seiner gesundheitlichen Beeinträchtigungen und seines Alltags zusätzlich auf eine unmittelbare und persönliche Unterstützung seiner Töchter angewiesen wäre. Auch wurde in keiner Weise dargelegt, inwiefern die Töchter zu ihren Eltern, von denen sie seit mehreren Jahren getrennt leben, in einem relevanten Abhängigkeitsverhältnis stehen würden. Die gesundheitlichen Probleme der Beschwerdeführerinnen, welche erst auf Beschwerdeebene geltend gemacht wurden, konnten nicht rechtsgenügend belegt werden. Im Übrigen stehen die vorgebrachten psychischen Störungen im Widerspruch zu den Aussagen, welche die Beschwerdeführerinnen während des vorinstanzlichen Verfahrens zu ihrem Gesundheitszustand gemacht haben.</w:t>
      </w:r>
    </w:p>
    <w:p>
      <w:r>
        <w:rPr>
          <w:b/>
        </w:rPr>
        <w:t>E. 6.3</w:t>
      </w:r>
    </w:p>
    <w:p>
      <w:r>
        <w:t>Somit ging die Vorinstanz zu Recht davon aus, dass kein hinreichendes Abhängigkeitsverhältnis für die Anwendung von Art. 16 Abs. 1 Dublin-III-VO vorliegt. Sofern die Beschwerdeführerinnen ein solches nicht als Voraussetzung für die Anwendbarkeit von Art. 16 Abs. 1 Dublin-III-VO verstehen, stellen sie sich mit dieser Rechtsauffassung in Widerspruch zur ständigen Praxis des Bundesverwaltungsgerichts (vgl. dazu insbesondere das Urteil des BVGer F-1568/2022 E. 7.6.2 m.w.H.). Sie bringen indes nichts vor, was das Gericht veranlassen könnte, auf die entsprechende Praxis zurückzukommen.</w:t>
      </w:r>
    </w:p>
    <w:p>
      <w:r>
        <w:rPr>
          <w:b/>
        </w:rPr>
        <w:t>E. 7</w:t>
      </w:r>
    </w:p>
    <w:p>
      <w:r>
        <w:t>Auch ein Selbsteintritt nach Art. 17 Abs. 1 erster Satz Dublin-III-VO, konkretisiert in Art. 29a Abs. 3 AsylV 1, kommt vorliegend nicht in Betracht.</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7.2</w:t>
      </w:r>
    </w:p>
    <w:p>
      <w:r>
        <w:t>Mangels systemischer Mängel im Sinne von Art. 3 Abs. 2 Dublin-III-VO kann vermutungsweise davon ausgegangen werden, dass Kroatien seinen völker- und gemeinschaftsrechtlichen Verpflichtungen gegenüber Personen in der Situation der Beschwerdeführerinnen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7.3</w:t>
      </w:r>
    </w:p>
    <w:p>
      <w:r>
        <w:t>Die Beschwerdeführerinnen vermögen nicht rechtsgenügend darzutun, dass die von ihnen bei einer Rückführung nach Kroatien zu erwartenden Bedingungen derart schlecht wären, dass sie zu einer Verletzung von Art. 3 EMRK führen könnten. Das Bundesverwaltungsgericht geht davon aus, dass sie sich nach der Dublin-Rücküberstellung in einer anderen Situation als bei der ersten Einreise nach Kroatien befinden werden (vgl. Urteil des BVGer E-1488/2020 E. 9.4 m.w.H.). Den Akten sind denn auch keine Gründe für die Annahme zu entnehmen, Kroatien werde in ihrem Fall den Grundsatz des Non-Refoulement missachten und sie zur Ausreise in ein Land zwingen, in dem ihr Leib, ihr Leben oder ihre Freiheit aus einem Grund nach Art. 3 Abs. 1 AsylG gefährdet wäre oder in dem sie Gefahr laufen würden, zur Ausreise in ein solches Land gezwungen zu werden. Zudem steht es Kroatien frei, Personen im Einklang mit der nationalen Gesetzgebung und dem anwendbaren Völkerrecht zu inhaftieren oder für kurze Zeit festzuhalten. Bei einer allfälligen vorübergehenden Einschränkung der ihnen zustehenden Aufnahmebedingungen könnten sie sich nötigenfalls an die kroatischen Behörden wenden und ihre Rechte auf dem Rechtsweg einfordern (vgl. Art. 26 Aufnahmerichtlinie). Sollten sie sich durch kroatische Behörden oder Drittpersonen ungerecht oder rechtswidrig behandelt fühlen, könnten sie sich mit einer Beschwerde an die zuständigen Stellen wenden oder eine Anzeige einreichen. Im Übrigen steht ihnen auch die Möglichkeit offen, die vor Ort tätigen karitativen Organisationen zu kontaktieren.</w:t>
      </w:r>
    </w:p>
    <w:p>
      <w:r>
        <w:rPr>
          <w:b/>
        </w:rPr>
        <w:t>E. 7.4</w:t>
      </w:r>
    </w:p>
    <w:p>
      <w:r>
        <w:t>Bezüglich der gesundheitlichen Aspekte ist festzuhalten, dass eine zwangsweise Rückweisung von Personen mit gesundheitlichen Problemen nur ausnahmsweise einen Verstoss gegen Art. 3 EMRK darstellt. Dies ist insbesondere dann der Fall, wenn Schwerkranke, die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Europäischen Ge-richtshofs für Menschenrechte [EGMR] Paposhvili gegen Belgien vom 13. Dezember 2016, Grosse Kammer 41738/10, §§ 180-193 m.w.H.). Die im vorliegenden Verfahren unsubstantiiert geltend gemachten gesundheitlichen Beeinträchtigungen («psychische Angeschlagenheit» und «Trauma» gemäss Beschwerden vom 6. Juni 2023) sind hingegen nicht von derartiger Schwere, dass sie eine drohende Verletzung von Art. 3 EMRK zu begründen vermöchten. Zudem könnten sie in Kroatien behandelt werden. Kroatien verfügt grundsätzlich über eine ausreichende medizinische Infrastruktur (vgl. Urteil des BVGer D-735/2022 vom 28. Februar 2022 E. 6.7.3).</w:t>
      </w:r>
    </w:p>
    <w:p>
      <w:r>
        <w:rPr>
          <w:b/>
        </w:rPr>
        <w:t>E. 7.5</w:t>
      </w:r>
    </w:p>
    <w:p>
      <w:r>
        <w:t>Vor diesem Hintergrund erscheint auch nicht angezeigt, das SEM dazu zu verpflichten, von den kroatischen Behörden vor einer Überstellung individuelle Zusicherungen bezüglich des Zugangs zum Asylverfahren, zu medizinischer Versorgung oder zu adäquater Unterbringung einzuholen.</w:t>
      </w:r>
    </w:p>
    <w:p>
      <w:r>
        <w:rPr>
          <w:b/>
        </w:rPr>
        <w:t>E. 7.6</w:t>
      </w:r>
    </w:p>
    <w:p>
      <w:r>
        <w:t>Sofern dies im Überstellungszeitpunkt erforderlich wäre, würden die schweizerischen Behörden, die mit dem Vollzug der angefochtenen Verfügungen beauftragt sind, die kroatischen Behörden in geeigneter Weise über allfällige spezifische medizinische Bedürfnisse und Umstände der Beschwerdeführerinnen informieren (Art. 31 f. Dublin-III-VO).</w:t>
      </w:r>
    </w:p>
    <w:p>
      <w:r>
        <w:rPr>
          <w:b/>
        </w:rPr>
        <w:t>E. 7.7</w:t>
      </w:r>
    </w:p>
    <w:p>
      <w:r>
        <w:t>Im Übrigen fehlt es zwischen den Beschwerdeführerinnen und ihren hier lebenden Verwandten nach dem Gesagten (E. 6) auch an einem besonderen Abhängigkeitsverhältnis im Sinne der Rechtsprechung zu Art. 8 EMRK, weshalb das darin verbürgte Recht auf Achtung des Familienlebens nicht tangiert ist (vgl. F-6463/2019 vom 7. September 2020 E. 8.4 m.w.H.).</w:t>
      </w:r>
    </w:p>
    <w:p>
      <w:r>
        <w:rPr>
          <w:b/>
        </w:rPr>
        <w:t>E. 7.8</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7.9</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in Verbindung mit Art. 17 Dublin-III-VO.</w:t>
      </w:r>
    </w:p>
    <w:p>
      <w:r>
        <w:rPr>
          <w:b/>
        </w:rPr>
        <w:t>E. 8</w:t>
      </w:r>
    </w:p>
    <w:p>
      <w:r>
        <w:t>Die Vorinstanz ist nach dem Gesagten zu Recht in Anwendung von Art. 31a Abs. 1 Bst. b AsylG auf das Asylgesuch der Beschwerdeführerinnen nicht eingetreten. Da die Beschwerdeführerinnen nicht im Besitz einer gültigen Aufenthalts- oder Niederlassungsbewilligung sind, wurde die Überstellung nach Kroatien in Anwendung von Art. 44 AsylG ebenfalls zu Recht angeordnet (Art. 32 Bst. a AsylV 1). Nach dem Gesagten sind die Beschwerden abzuweisen. Die Gesuche um Gewährung der aufschiebenden Wirkung sind mit Ausfällung des vorliegenden Endentscheids gegenstandslos geworden. Der verfügte Vollzugsstopp fällt mit dem vorliegenden Urteil dahin.</w:t>
      </w:r>
    </w:p>
    <w:p>
      <w:r>
        <w:rPr>
          <w:b/>
        </w:rPr>
        <w:t>E. 9</w:t>
      </w:r>
    </w:p>
    <w:p>
      <w:r>
        <w:t>Die Gesuche um Gewährung der unentgeltlichen Prozessführung und Bestellung der aktuellen Rechtsvertretung als amtliche Vertretung sind abzuweisen, da die Begehren wie sich aus den vorstehenden Erwägungen ergibt als aussichtslos zu bezeichnen sind und dies auch schon im Zeitpunkt der Gesuchstellung waren (Art. 65 Abs. 1 und 2 VwVG). Die Kosten der beiden Verfahren sind somit den Beschwerdeführerinnen aufzuerlegen (Art. 63 Abs. 1 VwVG) und auf insgesamt Fr. 1'000.-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