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F-3237/2023 vom 14. Juni 2023</w:t>
      </w:r>
    </w:p>
    <w:p>
      <w:r>
        <w:t>Bundesverwaltungsgericht, 2023-06-14, DE</w:t>
      </w:r>
    </w:p>
    <w:p>
      <w:r>
        <w:rPr>
          <w:b/>
        </w:rPr>
        <w:t xml:space="preserve">Quelle: </w:t>
      </w:r>
      <w:r>
        <w:t>https://mcp.opencaselaw.ch/entscheid/bvger_F-3237_2023</w:t>
      </w:r>
    </w:p>
    <w:p>
      <w:r>
        <w:t>FR: TAF F-3237/2023 du 14 juin 2023</w:t>
      </w:r>
    </w:p>
    <w:p>
      <w:r>
        <w:t>IT: TAF F-3237/2023 del 14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w:t>
      </w:r>
    </w:p>
    <w:p>
      <w:r>
        <w:t>Der Beschwerdeführer macht im Wesentlichen geltend, in Kroatien würden systemische Mängel vorliegen, weshalb gestützt auf Art. 3 Abs. 2 Dublin-III-VO die Schweiz auf sein Asylgesuch einzutreten habe. Als Folgeantragssteller bestehe die Gefahr, dass er keinen Schutz vor Zurückweisung erhalte, sondern ohne Anhörung und wesentliche Verfahrensgarantien aus Kroatien abgeschoben werde. Dort würden Polizeibehörden gegen zwingendes Völkerrecht verstossen, indem sie Schutzsuchende misshandeln, demütigen, schlagen, illegal inhaftieren und illegal zurückweisen würden. Es bestehe keine Möglichkeit, sich gegen die Polizeigewalt zu wehren; der Rechtsweg sei keine realistische Option. Er leide zudem an zahlreichen gesundheitlichen Problemen. Durch die Schläge der Polizisten in Kroatien habe er bis heute Hörprobleme. Diese hätten auch psychisch einen grossen Einfluss auf ihn. Sodann habe er einen Muskelfaserriss in der Wade erlitten, könne jedoch inzwischen wieder ohne Stöcke gehen. Er sei höchstwahrscheinlich auf umfassende und nahtlose medizinische Behandlung angewiesen, die in Kroatien nicht gewährleistet sei. Die Vorinstanz habe es unterlassen, den Sachverhalt im Zusammenhang mit den Aufnahmebedingungen, dem kroatischen Asylsystem und hinsichtlich seines Gesundheitszustands rechtsgenügend abzuklären.</w:t>
      </w:r>
    </w:p>
    <w:p>
      <w:r>
        <w:rPr>
          <w:b/>
        </w:rPr>
        <w:t>E. 5</w:t>
      </w:r>
    </w:p>
    <w:p>
      <w:r>
        <w:t>Der nach Dublin-III-Verordnung zuständige Mitgliedstaat ist verpflichtet, einen Antragsteller, der in einem anderen Mitgliedstaat einen Antrag gestellt hat, nach Massgabe der Art. 21, 22 und 29 Dublin-III-VO aufzunehmen (Art. 18 Abs. 1 Bst. a Dublin-III-VO). Den vorliegenden Akten ist zu entnehmen, dass sich der Beschwerdeführer vor seiner Einreise in die Schweiz in Kroatien aufgehalten hatte. Die kroatischen Behörden liessen das Übernahmeersuchen innert der in Art. 22 Abs. 1 Dublin-III-VO vorgesehenen Frist unbeantwortet, womit sie die Zuständigkeit Kroatiens implizit anerkannten (Art. 22 Abs. 7 Dublin-III-VO). Die grundsätzliche Zuständigkeit Kroatiens ist somit gegeben und wird vom Beschwerdeführer auch nicht bestritten.</w:t>
      </w:r>
    </w:p>
    <w:p>
      <w:r>
        <w:rPr>
          <w:b/>
        </w:rPr>
        <w:t>E. 6.1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belegten, überwiegend allgemein gehaltenen und unsubstantiiert vorgetragenen Ausführungen des Beschwerdeführers zu erlebter Polizeigewalt in Kroatien sind nicht geeignet, die Annahme zu widerlegen, wonach Kroatien seinen völkerrechtlichen Verpflichtungen im Rahmen eines Asylverfahrens nachkommt (vgl. Referenzurteil E-1488/2020 E. 8 und E. 9.5).</w:t>
      </w:r>
    </w:p>
    <w:p>
      <w:r>
        <w:rPr>
          <w:b/>
        </w:rPr>
        <w:t>E. 6.4</w:t>
      </w:r>
    </w:p>
    <w:p>
      <w:r>
        <w:t>Unter diesen Umständen ist die Anwendung von Art. 3 Abs. 2 Dublin-III-VO nicht gerechtfertigt. Die Rüge der unrichtigen und unvollständigen Sachverhaltsermittlung im Zusammenhang mit den Aufnahmebedingungen und dem kroatischen Asylsystem sind nicht stichhaltig, weshalb das Eventualbegehren auf Rückweisung der Sache zu weiteren Sachverhaltsabklärungen sowie zur Neubeurteilung abzuweisen ist.</w:t>
      </w:r>
    </w:p>
    <w:p>
      <w:r>
        <w:rPr>
          <w:b/>
        </w:rPr>
        <w:t>E. 7.1</w:t>
      </w:r>
    </w:p>
    <w:p>
      <w:r>
        <w:t>Der Beschwerdeführer fordert mit seinem Vorbringen, bei der Überstellung nach Kroatien liege ein reales Risiko («real risk») unmenschlicher Behandlung und damit eine Verletzung von Art. 3 EMRK und Art. 3 FoK vor,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weder bei der Vorinstanz noch auf Beschwerdeebene ein konkretes und ernsthaftes Risiko dargetan, die kroatischen Behörden würden sich weigern, ihn aufzunehmen und seinen nach erfolgter Einreise zu stellenden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er nicht begründet dargetan, die ihn bei einer Rückführung erwartenden Bedingungen in Kroatien seien derart schlecht, dass sie zu einer Verletzung von Art. 4 der EU-Grundrechtecharta, Art. 3 EMRK oder Art. 3 FoK führen könnten. Er hat überdies keine konkreten Hinweise für die Annahme dargetan, Kroatien würde ihm dauerhaft die ihm gemäss Aufnahmerichtlinie zustehenden minimalen Lebensbedingungen vorenthalten. Bei einer allfälligen vorübergehenden Einschränkung könnte er sich nötigenfalls an die kroatischen Behörden wenden und die ihm zustehenden Aufnahmebedingungen auf dem Rechtsweg einfordern (Art. 26 Aufnahmerichtlinie).</w:t>
      </w:r>
    </w:p>
    <w:p>
      <w:r>
        <w:rPr>
          <w:b/>
        </w:rPr>
        <w:t>E. 7.3</w:t>
      </w:r>
    </w:p>
    <w:p>
      <w:r>
        <w:t>Die gesundheitlichen Beeinträchtigungen des Beschwerdeführers (Hörprobleme, die angeblich von Schlägen der Polizei bei der Einreise in Kroatien stammen, und damit zusammenhängende psychische Probleme) sind nicht derart gravierend, dass in Anwendung von Art. 3 EMRK von einer Überstellung nach Kroatien abgesehen werden müsste (vgl. Urteil des EGMR Paposhvili gegen Belgien vom 13. Dezember 2016, Grosse Kammer, 41738/10, §§ 180-193 m.w.H.). Eine Traumatisierung aufgrund von Polizeigewalt in Kroatien wurde weder medizinisch festgestellt noch ist es dem Beschwerdeführer gelungen, eine solche glaubhaft darzulegen. Das Land verfügt grundsätzlich über eine ausreichende, hinreichend zugängliche medizinische Infrastruktur (vgl. Referenzurteil E-1488/2020 E. 10.2 und E. 10.3). Nötigenfalls kann der Beschwerdeführer in Kroatien auch eine psychologische Behandlung in Anspruch nehmen (vgl. statt vieler: Urteil des BVGer F-1176/2023 vom 10. März 2023 E. 5.1 m.w.H.). Die Vorinstanz hat den medizinischen Sachverhalt genügend abgeklärt und ist ihrer Untersuchungspflicht diesbezüglich nachgekommen.</w:t>
      </w:r>
    </w:p>
    <w:p>
      <w:r>
        <w:rPr>
          <w:b/>
        </w:rPr>
        <w:t>E. 7.4</w:t>
      </w:r>
    </w:p>
    <w:p>
      <w:r>
        <w:t>Individuelle Garantien betreffend Unterkunft, Nahrung und nahtlosem Zugang zu adäquater medizinischer Versorgung sind von den kroatischen Behörden nach dem Gesagten keine einzuholen (vgl. Referenzurteil E-1488/2020 E. 12). Das entsprechende (Subeventual-)Begehren des Beschwerdeführers ist ebenfalls abzuweisen.</w:t>
      </w:r>
    </w:p>
    <w:p>
      <w:r>
        <w:rPr>
          <w:b/>
        </w:rPr>
        <w:t>E. 8</w:t>
      </w:r>
    </w:p>
    <w:p>
      <w:r>
        <w:t>Der angefochtene Entscheid verletzt keine die Schweiz bindende völkerrechtliche Bestimmung. Das ihr im Übrigen bei der Anwendung von Art. 29a Abs. 3 AsylV 1 in Verbindung mit Art. 17 Dublin-III-VO zustehende Ermessen hat die Vorinstanz rechtskonform ausgeübt (vgl. BVGE 2015/9 E. 8). Es ist nicht zu beanstanden, dass sie das Vorliegen humanitärer Gründe verneint und vom Selbsteintrittsrecht keinen Gebrauch gemacht hat. Zu Recht ist sie auf das Asylgesuch nicht eingetreten und hat die Überstellung des Beschwerdeführers nach Kroatien verfügt. Die Beschwerde ist abzuweisen. Das Gesuch um Gewährung der aufschiebenden Wirkung ist mit Ausfällung des vorliegenden Endentscheids gegenstandslos geworden.</w:t>
      </w:r>
    </w:p>
    <w:p>
      <w:r>
        <w:rPr>
          <w:b/>
        </w:rPr>
        <w:t>E. 9</w:t>
      </w:r>
    </w:p>
    <w:p>
      <w:r>
        <w:t>Das Gesuch um Gewährung der unentgeltlichen Rechtspflege ist abzuweisen, da die Begehren wie sich aus den vorstehenden Erwägungen ergibt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