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F-3236/2021 vom 27. Oktober 2021</w:t>
      </w:r>
    </w:p>
    <w:p>
      <w:r>
        <w:t>Bundesverwaltungsgericht, 2021-10-27, DE</w:t>
      </w:r>
    </w:p>
    <w:p>
      <w:r>
        <w:rPr>
          <w:b/>
        </w:rPr>
        <w:t xml:space="preserve">Quelle: </w:t>
      </w:r>
      <w:r>
        <w:t>https://mcp.opencaselaw.ch/entscheid/bvger_F-3236_2021</w:t>
      </w:r>
    </w:p>
    <w:p>
      <w:r>
        <w:t>FR: TAF F-3236/2021 du 27 octobre 2021</w:t>
      </w:r>
    </w:p>
    <w:p>
      <w:r>
        <w:t>IT: TAF F-3236/2021 del 27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48 Abs. 1 sowie Art. 52 VwVG). Auf die Beschwerde ist einzutreten, soweit damit die Aufhebung des Nichteintretensentscheides und der Wegweisung beantragt wird.</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respektive der Anordnung der vorläufigen Aufnahme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(EU-Grundrechtecharta) mit sich bringen, ist zu prüfen, ob aufgrund dieser Kriterien ein anderer Mitgliedstaat als zuständig bestimmt werden kann. Kann kein anderer zuständiger Mitgliedstaat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Die Ermessensklausel von Art. 17 Abs. 1 Dublin-III-VO ist nicht direkt, sondern nur in Verbindung mit einer nationalen Norm (namentlich Art. 29a Abs. 3 der Asylverordnung 1 über Verfahrensfragen vom 11. August 1999 [AsylV 1, SR 142.311], Selbsteintritt aus humanitären Gründen) oder internationalem Recht anwendbar (vgl. BVGE 2010/45 E. 5).</w:t>
      </w:r>
    </w:p>
    <w:p>
      <w:r>
        <w:rPr>
          <w:b/>
        </w:rPr>
        <w:t>E. 4.1</w:t>
      </w:r>
    </w:p>
    <w:p>
      <w:r>
        <w:t>Ein Abgleich der Fingerabdrücke der Beschwerdeführenden mit der «Eurodac»-Datenbank ergab, dass diese am 3. Juni 2021 in Slowenien ein Asylgesuch eingereicht hatten. Die slowenischen Behörden stimmten dem Übernahmeersuchen des SEM am 1. Juli 2021 zu. Die Zustimmung stützte sich auf Art. 18 Abs. 1 Bst. b Dublin-III-VO. Die grundsätzliche Zuständigkeit Sloweniens ist somit gegeben.</w:t>
      </w:r>
    </w:p>
    <w:p>
      <w:r>
        <w:rPr>
          <w:b/>
        </w:rPr>
        <w:t>E. 4.2</w:t>
      </w:r>
    </w:p>
    <w:p>
      <w:r>
        <w:t>Im Lichte von Art. 3 Abs. 2 Dublin-III-VO ist nachfolgend zu prüfen, ob es wesentliche Gründe für die Annahme gibt, das Asylverfahren und die Aufnahmebedingungen für Asylsuchende in Slowenien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Slowenien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Gemäss Praxis des Bundesverwaltungsgerichts liegen keine Gründe für die Annahme vor, das Asylverfahren und die Aufnahmebedingungen für Antragstellende in Slowenien würden systemische Schwachstellen im Sinne von Art. 3 Abs. 2 Sätze 2 und 3 Dublin-III-VO aufweisen (vgl. u.a. die Urteile des BVGer D-715/2021 vom 19. Februar 2021, F-4659/2020 vom 24. September 2020 E. 4.1 und F-3660/2020 vom 22. Juli 2020 E. 4.1). Die Hinweise in der Beschwerde auf den Country Report Slovenia 2020 der Asylum Information Database, AIDA [nachfolgend: AIDA-Report], vermögen daran nichts zu ändern. Die von den Beschwerdeführenden befürchtete Unterbringung in haftähnlichen Bedingungen wurde im Jahr 2020 in Slowenien von den Verfassern des AIDA-Reports bei Personen konstatiert, die darauf warteten, ihr Asylgesuch einreichen zu können. Die Beschwerdeführenden haben in Slowenien demgegenüber bereits um Asyl ersucht und dürften nach der Rückweisung aus der Schweiz als Familie einer hierfür vorgesehenen Einrichtung zugeteilt werden (vgl. AIDA-Report, S. 55, 67). Bei einer allfälligen vorübergehenden Einschränkung könnten sie sich im Übrigen nötigenfalls an die dortigen Behörden wenden und die ihnen zustehenden Aufnahmebedingungen auf dem Rechtsweg einfordern (vgl. Art. 26 Aufnahmerichtlinie).</w:t>
      </w:r>
    </w:p>
    <w:p>
      <w:r>
        <w:rPr>
          <w:b/>
        </w:rPr>
        <w:t>E. 5.3</w:t>
      </w:r>
    </w:p>
    <w:p>
      <w:r>
        <w:t>Unter diesen Umständen ist die Anwendung von Art. 3 Abs. 2 Dublin-III-VO nicht gerechtfertigt.</w:t>
      </w:r>
    </w:p>
    <w:p>
      <w:r>
        <w:rPr>
          <w:b/>
        </w:rPr>
        <w:t>E. 6.1</w:t>
      </w:r>
    </w:p>
    <w:p>
      <w:r>
        <w:t>Die Beschwerdeführenden fordern mit ihren Vorbringen, wonach der Zugang zu einem rechtsstaatlichen Asylverfahren und die Gesundheitsversorgung für Asylsuchende in Slowenien mangelhaft seien und ihren medizinischen Bedürfnissen nicht gerecht würden, sinngemäss die Anwendung der Ermessensklausel von Art. 17 Abs. 1 Dublin-III-VO, respektive der - das Selbsteintrittsrecht im Landesrecht konkretisierenden - Bestimmung von Art. 29a Abs. 3 AsylV 1, gemäss welcher das SEM ein Asylgesuch «aus humanitären Gründen» auch dann behandeln kann, wenn dafür gemäss Dublin-III-VO ein anderer Staat zuständig wäre.</w:t>
      </w:r>
    </w:p>
    <w:p>
      <w:r>
        <w:rPr>
          <w:b/>
        </w:rPr>
        <w:t>E. 6.2</w:t>
      </w:r>
    </w:p>
    <w:p>
      <w:r>
        <w:t>Die Beschwerdeführenden haben kein konkretes und ernsthaftes Risiko dargetan, die slowenischen Behörden würden sich weigern, sie aufzunehmen und ihren Antrag auf internationalen Schutz unter Einhaltung der Regeln der Verfahrensrichtlinie zu prüfen. Den Akten sind keine Gründe für die Annahme zu entnehmen, Slowenien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Daran vermag ihr Hinweis auf eine hohe Abweisungsquote bei Asylsuchenden aus Bangladesch, auf die Einstufung dieses Landes als «safe country of origin» durch die slowenischen Behörden und auf den - zumindest gemäss AIDA-Report - anscheinend eher schwierigen Zugang zur asylrechtlichen Vertretung nichts zu ändern. Entgegen dem Dafürhalten der Beschwerdeführenden kann aus diesen Punkten nicht geschlossen werden, Asylgesuche von Personen aus Bangladesch würden in Slowenien nicht einzelfallspezifisch geprüft. Aus dem AIDA-Report geht denn auch hervor, dass die Vermutung des sicheren Herkunftsstaates im konkreten Einzelfall von den Asylsuchenden mit entsprechenden Belegen umgestossen werden kann und dass eine kostenlose juristische Beratung und der Zugang zu (auch beratend tätigen) Hilfswerken grundsätzlich gewährleistet ist (vgl. S. 29 f., 48 f., 52 f., 61 f.).</w:t>
      </w:r>
    </w:p>
    <w:p>
      <w:r>
        <w:rPr>
          <w:b/>
        </w:rPr>
        <w:t>E. 6.3</w:t>
      </w:r>
    </w:p>
    <w:p>
      <w:r>
        <w:t>Schliesslich liegen auch keine Hinweise vor, wonach Slowenien seinen Verpflichtungen im Rahmen der Dublin-III-VO in medizinischer Hinsicht nicht nachkommen würde. Hinsichtlich der geltend gemachten gesundheitlichen Problematik ist Folgendes festzuhalten:</w:t>
      </w:r>
    </w:p>
    <w:p>
      <w:r>
        <w:rPr>
          <w:b/>
        </w:rPr>
        <w:t>E. 6.3.1</w:t>
      </w:r>
    </w:p>
    <w:p>
      <w:r>
        <w:t>Auch wenn die Annahme einer Verletzung von Art. 3 EMRK aus ge-sundheitlichen Gründen nicht mehr ein fortgeschrittenes oder terminales Krankheitsstadium beziehungsweise eine Todesnähe voraussetzt (vgl. etwa noch BVGE 2011/9 E. 7 m.w.H.), bleibt die Schwelle hoch. Sie kann erreicht sein, wenn eine schwer kranke Person durch die Abschiebung mangels angemessener medizinischer Behandlung im Zielstaat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w:t>
      </w:r>
    </w:p>
    <w:p>
      <w:r>
        <w:rPr>
          <w:b/>
        </w:rPr>
        <w:t>E. 6.3.2</w:t>
      </w:r>
    </w:p>
    <w:p>
      <w:r>
        <w:t>Zum Gesundheitszustand der Beschwerdeführenden ergibt sich im Wesentlichen Folgendes aus den Akten: Die ganze Familie wurde am 22. Juni 2021 auf Skabies behandelt. Die Beschwerdeführerin 2 wurde am 12. Juli 2021 ein zweites Mal behandelt. Letztere dürfte sodann - zumindest nach eigenen Angaben - schwanger sein, wobei hierfür keine medizinischen Belege bei den Akten liegen und das SEM angibt, ein Mitte Juli durchgeführter Schwangerschaftstest sei negativ gewesen. Die Beschwerdeführenden konnten insofern nicht nachweisen, dass sie nicht reisefähig sind oder eine Überstellung ihre Gesundheit ernsthaft gefährden würde und damit unzulässig im Sinne der restriktiven Rechtsprechung wäre. Die gesundheitlichen Probleme sind auch nicht von einer derartigen Schwere, dass aus humanitären Gründen von einer Überstellung abgesehen werden müsste.</w:t>
      </w:r>
    </w:p>
    <w:p>
      <w:r>
        <w:rPr>
          <w:b/>
        </w:rPr>
        <w:t>E. 6.3.3</w:t>
      </w:r>
    </w:p>
    <w:p>
      <w:r>
        <w:t>Im Übrigen weist das SEM zu Recht darauf hin, dass Slowenien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Slowenien den Beschwerdeführenden eine adäquate medizinische Behandlung verweigern würde. Die schweizerischen Behörden, die mit dem Vollzug der angefochten Verfügung beauftragt sind, werden den medizinischen Umständen bei der Bestimmung der konkreten Modalitäten der Überstellung Rechnung tragen und die slowenischen Behörden vorgängig in geeigneter Weise informieren (vgl. Art. 31 f. Dublin-III-VO).</w:t>
      </w:r>
    </w:p>
    <w:p>
      <w:r>
        <w:rPr>
          <w:b/>
        </w:rPr>
        <w:t>E. 6.3.4</w:t>
      </w:r>
    </w:p>
    <w:p>
      <w:r>
        <w:t>Der aktuelle Gesundheitszustand der Beschwerdeführenden führt somit für den Fall einer Überstellung nach Slowenien im Rahmen des Dublin-Verfahrens nicht zur Annahme einer drohenden Verletzung von Art. 3 EMRK.</w:t>
      </w:r>
    </w:p>
    <w:p>
      <w:r>
        <w:rPr>
          <w:b/>
        </w:rPr>
        <w:t>E. 6.4</w:t>
      </w:r>
    </w:p>
    <w:p>
      <w:r>
        <w:t>Nach dem Gesagten konnten die Beschwerdeführenden kein konkretes und ernsthaftes Risiko dartun, wonach ihre Wegweisung nach Slowenien die Verletzung völkerrechtlicher Bestimmungen zur Folge hätte.</w:t>
      </w:r>
    </w:p>
    <w:p>
      <w:r>
        <w:rPr>
          <w:b/>
        </w:rPr>
        <w:t>E. 6.5</w:t>
      </w:r>
    </w:p>
    <w:p>
      <w:r>
        <w:t>Gemäss Praxis des Bundesverwaltungsgerichts verfügt das SEM bei der Anwendung der Kann-Bestimmung von Art. 29a Abs. 3 AsylV 1 über einen Ermessensspielraum (vgl. BVGE 2015/9 E. 7 f.). Aufgrund der Kog-nitionsbeschränkung gemäss Art. 106 Abs. 1 Bst. a AsylG überprüft das Gericht den vorinstanzlichen Verzicht der Anwendung von Art. 29a Abs. 3 AsylV 1 nicht auf Angemessenheit hin. Es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Nach dem Ausgeführten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Somit bleibt Slowenien der für die Behandlung der Asylgesuche der Beschwerdeführenden zuständige Mitgliedstaat gemäss Dublin-III-VO.</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Slowenien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11</w:t>
      </w:r>
    </w:p>
    <w:p>
      <w:r>
        <w:t>Damit ist die Beschwerde abzuweisen, soweit darauf einzutreten ist, und die Verfügung des SEM ist zu bestätigen. Das Beschwerdeverfahren ist mit vorliegendem Urteil abgeschlossen, weshalb sich die Anträge auf Gewährung der aufschiebenden Wirkung als gegenstandslos erweisen.</w:t>
      </w:r>
    </w:p>
    <w:p>
      <w:r>
        <w:rPr>
          <w:b/>
        </w:rPr>
        <w:t>E. 12.1</w:t>
      </w:r>
    </w:p>
    <w:p>
      <w:r>
        <w:t>Es verbleibt der Entscheid über die Verfahrenskosten und eine allfällige Entschädigung. Diese sind nach Massgabe des Unterliegens respektive Obsiegens zu berechnen (Art. 63 Abs. 1 und Art. 64 Abs. 1 VwVG).</w:t>
      </w:r>
    </w:p>
    <w:p>
      <w:r>
        <w:rPr>
          <w:b/>
        </w:rPr>
        <w:t>E. 12.2</w:t>
      </w:r>
    </w:p>
    <w:p>
      <w:r>
        <w:t>Die Behandlung des Gesuchs um Verzicht auf die Erhebung eines Kostenvorschusses erübrigt sich mit dem vorliegenden abschliessenden Urteil in der Sache.</w:t>
      </w:r>
    </w:p>
    <w:p>
      <w:r>
        <w:rPr>
          <w:b/>
        </w:rPr>
        <w:t>E. 12.3</w:t>
      </w:r>
    </w:p>
    <w:p>
      <w:r>
        <w:t>Beim vorliegenden Ausgang des Verfahrens sind die Kosten grundsätzlich den Beschwerdeführenden aufzuerlegen (Art. 63 Abs. 1 VwVG). Das Gesuch um Gewährung der unentgeltlichen Prozessführung im Sinne von Art. 65 Abs. 1 VwVG ist abzuweisen, weil sich die Beschwerde entsprechend den vorstehenden Erwägungen bereits bei Eingang der Begehren als aussichtlos erwiesen hat. Demzufolge haben die Beschwerdeführenden die Verfahrenskosten in der Höhe von Fr. 750.- zu tragen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