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F-3235/2022 vom 3. August 2022</w:t>
      </w:r>
    </w:p>
    <w:p>
      <w:r>
        <w:t>Bundesverwaltungsgericht, 2022-08-03, FR</w:t>
      </w:r>
    </w:p>
    <w:p>
      <w:r>
        <w:rPr>
          <w:b/>
        </w:rPr>
        <w:t xml:space="preserve">Quelle: </w:t>
      </w:r>
      <w:r>
        <w:t>https://mcp.opencaselaw.ch/entscheid/bvger_F-3235_2022</w:t>
      </w:r>
    </w:p>
    <w:p>
      <w:r>
        <w:t>FR: TAF F-3235/2022 du 3 août 2022</w:t>
      </w:r>
    </w:p>
    <w:p>
      <w:r>
        <w:t>IT: TAF F-3235/2022 del 3 agosto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(sur renvoi de l'art. 105 LAsi),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(art. 48 al. 1 PA). Présenté dans la forme et le délai prescrits par la loi, le recours est recevable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A titre liminaire, il convient d'examiner le grief formel que les intéressés ont fait valoir à l'appui de leur recours (cf. ATF 138 I 232 consid. 5). En effet, ceux-ci ont reproché au SEM de ne pas avoir suffisamment instruit leur état de santé psychique, d'une part, et la situation générale des migrants en Croatie, d'autre part. En effet, ils accusent le SEM de ne pas avoir examiné la situation en Croatie « à satisfaction de droit » et d'avoir rendu une décision à l'argumentation stéréotypée et standardisée, alors que la jurisprudence du Tribunal, rendue en matière de transferts Dublin vers la Croatie, imposerait « un examen minutieux » (cf. mémoire de recours p. 7). A cet égard, ils soulignent que le recourant est l'unique personne de la famille à avoir déposé une demande d'asile en Croatie et que, dans ces circonstances précises, il conviendrait de retenir, « à tout le moins en tant que bénéfice du doute », que les intéressés n'ont pas déposé de demande d'asile dans ce pays et que l'on se trouverait face à une procédure de prise en charge et non de reprise en charge. Dans ce contexte, les recourants ont invoqué une violation par le SEM de la maxime inquisitoire, ce qui aurait conduit à un établissement inexact et incomplet de l'état de fait pertinent, violant ainsi également leur droit d'être entendus (dans le sens que leurs arguments n'auraient pas été pris en compte à satisfaction de droit).</w:t>
      </w:r>
    </w:p>
    <w:p>
      <w:r>
        <w:rPr>
          <w:b/>
        </w:rPr>
        <w:t>E. 3.2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en contradiction avec les pièces (cf. ATAF 2014/2 consid. 5.1 et jurisp. cit.; Benoit Bovay, Procédure administrative, 2e éd. 2015, p. 615; Kölz/Häner/Bertschi, Verwaltungsverfahren und Verwaltungsrechts-pflege des Bundes, 3e éd. 2013, no 1043 p. 369 ss).</w:t>
      </w:r>
    </w:p>
    <w:p>
      <w:r>
        <w:rPr>
          <w:b/>
        </w:rPr>
        <w:t>E. 3.4</w:t>
      </w:r>
    </w:p>
    <w:p>
      <w:r>
        <w:t>En l'occurrence, au moment où l'autorité intimée a statué, elle disposait de plusieurs documents médicaux mettant en évidence les affections dont souffrent les recourants et qu'elle a dûment pris en compte, contrairement aux allégations formulées dans le recours (cf. consid. E, H, J et L supra). Si certes, il appert du dossier que les suivis psychologiques ont mis du temps à se mettre en place (cf. dossier SEM, courriers de la représentation juridique du 25 avril et 13 juin 2022), on ne saurait reprocher au SEM de ne pas avoir attendu la fin de ces derniers pour prendre sa décision. En effet, comme relevé à juste titre par l'autorité inférieure, les recourants ont eu des contacts réguliers avec l'infirmerie du centre et les spécialistes ont jugé que leurs états de santé somatique ne nécessitaient pas de prise en charge conséquente et urgente (cf. consid. 7.4.1 infra). S'agissant de l'examen de la situation générale des migrants en Croatie ainsi que de savoir si les recourants se trouvent dans une situation de prise ou reprise en charge, il s'agit de griefs relevant du fond, lesquels seront examinés ci-après (cf. consid. 5 et 6 infra).</w:t>
      </w:r>
    </w:p>
    <w:p>
      <w:r>
        <w:rPr>
          <w:b/>
        </w:rPr>
        <w:t>E. 3.5</w:t>
      </w:r>
    </w:p>
    <w:p>
      <w:r>
        <w:t>Quant à l'argument concernant la violation du droit d'être entendus entrainant une motivation insuffisante des faits pertinents, il sied de rappeler qu'il ne saurait être exigé des autorités administratives, qui doivent se montrer expéditives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cas échéant, d'attaquer utilement la décision, ce qui est le cas en l'espèce (cf., notamment, arrêt du TAF F-1532/2022 du 8 avril 2022 consid. 3.3.1 et jurisp. cit. ).</w:t>
      </w:r>
    </w:p>
    <w:p>
      <w:r>
        <w:rPr>
          <w:b/>
        </w:rPr>
        <w:t>E. 3.6</w:t>
      </w:r>
    </w:p>
    <w:p>
      <w:r>
        <w:t>Dans ces conditions, le grief d'ordre formel invoqué par les recourants doit être rejeté.</w:t>
      </w:r>
    </w:p>
    <w:p>
      <w:r>
        <w:rPr>
          <w:b/>
        </w:rPr>
        <w:t>E. 4.1</w:t>
      </w:r>
    </w:p>
    <w:p>
      <w:r>
        <w:t>Dans le cas d'espèce, il y a lieu de déterminer si le SEM était fondé à faire application de l'art. 31a al. 1 let. b LAsi, disposition en vertu de laquelle il n'entre pas en matière sur une demande d'asile lorsque les requérants peuvent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des demandes d'asile, le SEM rend une décision de non-entrée en matière après que l'Etat requis a accepté la prise ou la reprise en charge des requérants ou s'est abstenu de répondre dans un certain délai (art. 29a al. 2 OA 1 [cf. ATAF 2017 VI/7 consid. 2.1 et 2017 VI/5 consid. 6.2]).</w:t>
      </w:r>
    </w:p>
    <w:p>
      <w:r>
        <w:rPr>
          <w:b/>
        </w:rPr>
        <w:t>E. 4.3</w:t>
      </w:r>
    </w:p>
    <w:p>
      <w:r>
        <w:t>Aux termes de l'art. 3 par. 1 du règlement Dublin III, les demandes de protection internationale sont examinées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reprise en charge (anglais : take back), comme en l'espèce (cf. consid. 5 infra),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les demandeurs dont les demandes sont en cours d'examen et qui a présenté une demande auprès d'un autre Etat membre ou qui se trouve, sans titre de séjour, sur le territoire d'un autre Etat membre (cf. art. 18 par. 1 let. b règlement Dublin III).</w:t>
      </w:r>
    </w:p>
    <w:p>
      <w:r>
        <w:rPr>
          <w:b/>
        </w:rPr>
        <w:t>E. 5.1</w:t>
      </w:r>
    </w:p>
    <w:p>
      <w:r>
        <w:t>En l'occurrence, les investigations entreprises par le SEM ont révélé, après consultation de l'unité centrale du système européen « Eurodac », que A._______ avait déposé une demande d'asile en Croatie le 13 janvier 2022 et que B._______ avait déposé une demande d'asile en Slovénie le 3 mars 2022.</w:t>
      </w:r>
    </w:p>
    <w:p>
      <w:r>
        <w:rPr>
          <w:b/>
        </w:rPr>
        <w:t>E. 5.2</w:t>
      </w:r>
    </w:p>
    <w:p>
      <w:r>
        <w:t>A cet égard, et comme développé précédemment (cf. consid. 3.1 supra), les recourants soutiennent qu'au vu du manque de clarté quant au dépôt de leurs empreintes en Croatie, le Tribunal devrait leur accorder le bénéfice du doute et juger leur cas sous l'angle d'une procédure de prise en charge. Il ressort toutefois des déclarations concordantes des intéressés devant l'autorité inférieure que la famille n'a jamais été séparée durant leur parcours migratoire et que B._______ est entrée en même temps que son mari en Croatie. En outre, durant son entretien Dublin, cette dernière a précisé avoir été contrôlée par la police croate et avoir donné ses empreintes aux autorités, malgré le fait que rien n'apparaisse dans le système « Eurodac » (cf. dossier SEM, pce. 35).</w:t>
      </w:r>
    </w:p>
    <w:p>
      <w:r>
        <w:rPr>
          <w:b/>
        </w:rPr>
        <w:t>E. 5.3</w:t>
      </w:r>
    </w:p>
    <w:p>
      <w:r>
        <w:t>Fondé sur ce qui précède et retenant que le pays d'entrée était la Croatie pour tous les recourants, le SEM, après avoir averti explicitement les autorités croates compétentes sur la situation des intéressées et le dépôt de leurs empreintes, a soumis à ces dernières, le 4 avril 2022 (soit dans le délai fixé à l'art. 23 par. 2 du règlement Dublin III), une requête aux fins de reprise en charge des intéressés, en application de l'art. 18 par. 1 let. b du règlement Dublin III.</w:t>
      </w:r>
    </w:p>
    <w:p>
      <w:r>
        <w:rPr>
          <w:b/>
        </w:rPr>
        <w:t>E. 5.4</w:t>
      </w:r>
    </w:p>
    <w:p>
      <w:r>
        <w:t>Le 13 avril 2022 (soit dans le respect du délai de l'art. 25 par. 1 du règlement Dublin III), la Croatie a expressément accepté de reprendre en charge tous les intéressés. A cet égard, il sied de constater que les autorités compétentes ont envoyé au SEM deux documents d'acceptation : un concernant le recourant et un concernant B._______ et ses enfants, étant précisé que cette dernière était connue sous un autre alias en Croatie en ce qui concerne sa date de naissance (cf. dossier SEM, pce. 48). Dès lors, le Tribunal constate que tant le SEM que les autorités croates ont donné assez de garanties formelles quant à la reprise en charge de toute la famille en Croatie.</w:t>
      </w:r>
    </w:p>
    <w:p>
      <w:r>
        <w:rPr>
          <w:b/>
        </w:rPr>
        <w:t>E. 5.5</w:t>
      </w:r>
    </w:p>
    <w:p>
      <w:r>
        <w:t>Partant, il sied de constater que la Croatie est compétente pour traiter des demandes d'asile des intéressés.</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respectivement de risques avérés de push-backs à la frontière avec la Bosnie-Herzégovine, s'agissant des requérants qui ont déjà déposé une demande de protection internationale en Croatie et qui sont repris en charge par cet Etat dans le cadre d'une procédure Dublin (cf. arrêts du TAF D-1418/2022 du 4 avril 2022 consid. 5.2.2, D-1241/2022 du 25 mars 2022 p. 5, D-735/2022 du 28 février 2022 consid. 6.5.2, F-173/2022 du 19 janvier 2022 consid. 6.3,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C'est dire que les recourants ne peuvent tirer argument de l'arrêt de référence E-3078/2019 du 12 juillet 2019 qui, d'une part, n'a pas considéré que le système mis en place par la Croatie présentait des défaillances systémiques et, d'autre part, concernait la problématique des prises en charge Dublin. Ils ne sauraient davantage s'appuyer sur l'arrêt de cassation du TAF F-5675/2021 du 6 janvier 2022, qui concerne également une procédure de prise en charge Dublin, ni d'ailleurs sur l'arrêt de la Cour européenne des droits de l'homme (Cour EDH) M.H. et autres c. Croatie du 18 novembre 2021 (req. n° 43115/18), qui ne concerne pas un transfert Dublin.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du règlement Dublin III ne se justifie pas en l'espèce.</w:t>
      </w:r>
    </w:p>
    <w:p>
      <w:r>
        <w:rPr>
          <w:b/>
        </w:rPr>
        <w:t>E. 7.1</w:t>
      </w:r>
    </w:p>
    <w:p>
      <w:r>
        <w:t>Pour s'opposer à leur transfert vers la Croatie, les intéressés ont fait valoir qu'ils avaient vécu dans un camp aux conditions d'accueil précaires. En outre, ils ont émis de sérieux doutes quant à l'accès dans ce pays à une procédure d'asile équitable et respectueuse de leurs droits fondamentaux. Par ailleurs, ils auraient été victimes à de nombreuses reprises de refoulement à la frontière croate et n'aurait pas pu accéder à des traitements médicaux, alors qu'ils étaient affaiblis. Tous les recourants étant atteints dans leur santé, ils représenteraient un groupe particulièrement vulnérable en cas de transfert. A cet égard, ils invoquent une violation de l'art. 17 par. 1 du règlement Dublin III en lien avec les art. 3 et 13 CEDH ainsi que 3 CCT, ainsi qu'en lien avec l'art. 29a al. 3 OA 1.</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En outre, selon la jurisprudence prévue par la jurisprudence de la Cour EDH Paposhvili c. Belgique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 et ATAF 2011/9 consid. 7.1)</w:t>
      </w:r>
    </w:p>
    <w:p>
      <w:r>
        <w:rPr>
          <w:b/>
        </w:rPr>
        <w:t>E. 7.3</w:t>
      </w:r>
    </w:p>
    <w:p>
      <w:r>
        <w:t>Dans le cas particulier, les recourants n'ont fourni aucun élément concret susceptible de démontrer que leurs demandes de protection déposées en Croatie ne seraient pas traitées conformément aux dispositions légales applicables dans ce pays, lequel est notamment lié par les conventions précitées, et avec diligence par les autorités compétentes de cet Etat, conformément à la directive Procédure. En outre, ils n'ont fourni aucun élément tangible susceptible de démontrer que la Croatie ne respecterait pas le principe du non refoulement, et donc faillirait à ses obligations internationales en les renvoyant dans un pays où leur vie, leur intégrité corporelle ou leur liberté seraient sérieusement menacées, ou encore d'où ils risqueraient d'être astreints à se rendre dans un tel pays. En outre, rien ne permet de considérer que les autorités croates (qui ont expressément accepté de reprendre en charge toute la famille) refuseraient de mener à terme leur procédure d'asile (cf. arrêt du TAF E-711/2021 du 11 mars 2021 consid. 4.3). Les problèmes soulevés dans le recours concernant la situation générale en Croatie en lien avec la procédure d'asile ne sauraient infléchir ce raisonnement (cf. consid. 6.4 ci-dessus).</w:t>
      </w:r>
    </w:p>
    <w:p>
      <w:r>
        <w:rPr>
          <w:b/>
        </w:rPr>
        <w:t>E. 7.4</w:t>
      </w:r>
    </w:p>
    <w:p>
      <w:r>
        <w:t>Les intéressés n'ont pas non plus apporté d'indices objectifs, concrets et sérieux qu'ils seraient privés durablement, en Croatie, de tout accès aux conditions matérielles d'accueil prévues par la directive Accueil et qu'ils ne pourraient pas bénéficier de l'aide nécessaire pour faire valoir leurs droits. Enfin, ils n'ont pas démontré que leurs conditions d'existence dans ce pays, ainsi que celles de leurs enfants, revêtiraient un tel degré de pénibilité et de gravité qu'elles seraient constitutives d'un traitement contraire à l'art. 3 CEDH ou encore à l'art. 3 CCT (cf. arrêt du TAF F-1125/2021 du 19 mars 2021 consid. 4.5). Les jugements et rapports cités à l'appui du recours ne sauraient suffire à cet égard. Si, tel qu'ils le suggèrent sans preuve aucune, les recourants devaient toutefois,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avant de s'adresser, en cas de besoin et en dernière extrémité, à la Cour EDH (cf. arrêt du TAF F-1543/2018 du 19 mars 2018 consid. 6.2 ainsi que art. 26 Directive Accueil).</w:t>
      </w:r>
    </w:p>
    <w:p>
      <w:r>
        <w:rPr>
          <w:b/>
        </w:rPr>
        <w:t>E. 7.4.1</w:t>
      </w:r>
    </w:p>
    <w:p>
      <w:r>
        <w:t>S'agissant des problèmes médicaux allégués, il ressort des divers documents versés au dossier les diagnostics qui suivent. La recourante s'est vue retirer un kyste ovarien, mais souffre toutefois encore de pertes vaginales et de douleurs qui se situent dans le bas ventre et le dos. A cet égard, des antidouleurs et un relaxant musculaire lui ont été donnés (Dafalgan, Irfen et Sirdalud [cf. dossier SEM, pce. 87]) Sur le plan psychologique, elle souffre d'un PTSD et il lui a été prescrit une médication à base d'antidépresseur et de somnifère (Mirtazapine et Stilnox) ainsi qu'un suivi psychothérapeutique hebdomadaire (cf. dossier SEM, pce. 74). Le recourant, pour sa part, souffre sur le plan somatique de brûlures à l'éjaculation, de démangeaisons oculaires dans un contexte allergique, de troubles du sommeil ainsi que d'une entorse à la jambe droite (cf. dossier SEM, pce. 67). Dès lors, des gouttes oculaires, des antistaminiques ainsi qu'un gel pour l'entorse et un antidépresseur (Mitzapine) lui ont été prescrits. Un suivi de physiothérapie de neuf séances a également été mis en place (cf. dossier SEM, pce. 79). Concernant ses troubles de l'érection, aucune médication n'a été indiquée. Finalement, les filles des intéressés souffrent de constipation due au changement alimentaire (cf. dossier SEM, pces. 68 et 69).</w:t>
      </w:r>
    </w:p>
    <w:p>
      <w:r>
        <w:rPr>
          <w:b/>
        </w:rPr>
        <w:t>E. 7.4.2</w:t>
      </w:r>
    </w:p>
    <w:p>
      <w:r>
        <w:t>Au vu de ce qui précède, et compte tenu de la jurisprudence restrictive en la matière, il y a lieu de considérer que les problèmes de santé évoqués par les recourants ne sont pas d'une gravité telle qu'il se justifierait de renoncer au transfert des intéressés vers la Croatie (cf., à ce sujet, Cour EDH précité Paposhvili c. Belgique, par. 183).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7.4.3</w:t>
      </w:r>
    </w:p>
    <w:p>
      <w:r>
        <w:t>Dès lors, il y a lieu de retenir que les problèmes de santé, sous traitement médical, dont les recourants sont atteints - et dont le Tribunal ne remet pas en cause la gravité - ne sauraient faire obstacle à l'exécution de leur transfert vers la Croatie.</w:t>
      </w:r>
    </w:p>
    <w:p>
      <w:r>
        <w:rPr>
          <w:b/>
        </w:rPr>
        <w:t>E. 7.5</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7.6</w:t>
      </w:r>
    </w:p>
    <w:p>
      <w:r>
        <w:t>Par conséquent, le transfert des intéressés vers la Croatie n'est pas contraire aux obligations découlant de dispositions conventionnelles auxquelles la Suisse est liée.</w:t>
      </w:r>
    </w:p>
    <w:p>
      <w:r>
        <w:rPr>
          <w:b/>
        </w:rPr>
        <w:t>E. 7.7</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des intéressés, en application de l'art. 31a al. 1 let. b LAsi, et a prononcé leur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est rejeté dans une procédure à juge unique, avec l'approbation d'un second juge (art. 111 let. e LAsi). Il est dès lors renoncé à un échange d'écritures et le présent arrêt n'est motivé que sommairement (cf. art. 111a al. 1 et 2 LAsi).</w:t>
      </w:r>
    </w:p>
    <w:p>
      <w:r>
        <w:rPr>
          <w:b/>
        </w:rPr>
        <w:t>E. 10</w:t>
      </w:r>
    </w:p>
    <w:p>
      <w:r>
        <w:t>Dans la mesure où il a été immédiatement statué sur le fond, les requêtes en octroi de l'effet suspensif et en exemption du paiement d'une avance de frais sont sans objet. En outre, les conclusions du recours étant d'emblée vouées à l'échec, la requête d'assistance judiciaire partielle est rejetée.</w:t>
      </w:r>
    </w:p>
    <w:p>
      <w:r>
        <w:rPr>
          <w:b/>
        </w:rPr>
        <w:t>E. 11</w:t>
      </w:r>
    </w:p>
    <w:p>
      <w:r>
        <w:t>Vu l'issue de la cause, il y a lieu de mettre les frais de procédure à la charge des recourants, débiteurs solidaires, conformément aux art. 63 al. 1 PA et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