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F-322/2024 vom 22. Januar 2024</w:t>
      </w:r>
    </w:p>
    <w:p>
      <w:r>
        <w:t>Bundesverwaltungsgericht, 2024-01-22, DE</w:t>
      </w:r>
    </w:p>
    <w:p>
      <w:r>
        <w:rPr>
          <w:b/>
        </w:rPr>
        <w:t xml:space="preserve">Quelle: </w:t>
      </w:r>
      <w:r>
        <w:t>https://mcp.opencaselaw.ch/entscheid/bvger_F-322_2024</w:t>
      </w:r>
    </w:p>
    <w:p>
      <w:r>
        <w:t>FR: TAF F-322/2024 du 22 janvier 2024</w:t>
      </w:r>
    </w:p>
    <w:p>
      <w:r>
        <w:t>IT: TAF F-322/2024 del 22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3.4</w:t>
      </w:r>
    </w:p>
    <w:p>
      <w:r>
        <w:t>Ein Abgleich der Fingerabdrücke des Beschwerdeführers ergab, dass dieser am 27. Oktober 2023 und am 31. Oktober 2023 in Kroatien daktyloskopisch erfasst wurde und an diesen Tagen gemäss Auszug aus der «Eurodac»-Datenbank jeweils ein Asylgesuch stellte. Die kroatischen Behörden stimmten dem Wiederaufnahmeersuchen der Vorinstanz gestützt auf Art. 20 Abs. 5 Dublin-III-VO zu. Somit sind sowohl die Antragsstellung in Kroatien als auch der Umstand, dass das kroatische Verfahren zur Bestimmung des für die Asylgesuche des Beschwerdeführers zuständigen Mitgliedstaats gemäss Art. 20 Abs. 5 Dublin-III-VO noch nicht abgeschlossen wurde, als erstellt zu betrachten mit der Folge, dass das Verfahren nach einer Rücküberstellung des Beschwerdeführers fortgesetzt wird. Die Zuständigkeit Kroatiens ist grundsätzlich gegeben. Soweit der Beschwerdeführer im Dublin-Gespräch monierte, zur Abgabe der Fingerabdrücke gezwungen worden zu sein, gilt es darauf hinzuweisen, dass die Abnahme der Fingerabdrücke von illegal einreisenden Ausländerinnen und Ausländern sich auf die Verordnung (EU) Nr. 603/2013 des Europäischen Parlaments und des Rates vom 26. Juni 2013 (Eurodac-Verordnung) stützt und sich folglich als legitim erweist (vgl. bspw. Urteile des BVGer F-1/2024 vom 8. Januar 2024 E. 4.5 und F-599/2022 vom 14. Februar 2022 E. 3.3).</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4.2</w:t>
      </w:r>
    </w:p>
    <w:p>
      <w:r>
        <w:t>Gemäss dieser Praxis lassen die vom Beschwerdeführer bei seiner Einreise nach Kroatien geltend gemachten Vorkommnisse (Anwendung von Gewalt durch Polizisten, Zurückbringen nach Bosnien, Wegnahme von Dokumenten und Wertgegenständen), nicht den Schluss zu, er hätte bei einer Überstellung nach Kroatien mit hoher Wahrscheinlichkeit eine unmenschliche oder erniedrigende Behandlung im Sinne von Art. 3 EMRK oder Art. 3 des Übereinkommens gegen Folter und andere grausame, unmenschliche oder erniedrigende Behandlung oder Strafe (FoK; SR 105) zu gewärtigen. Im vorliegend zu beurteilenden take-back-Verfahren würde er bei einer Überstellung nach Kroatien auf legalem Weg in die Hauptstadt Zagreb überstellt und nicht mit einer Situation konfrontiert, wie er sie an der kroatischen Aussengrenze angeblich erlebt hat. Gegen das Fehlverhalten von einzelnen Polizeiangehörigen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bspw. Urteil F-1/2024 E. 5.4).</w:t>
      </w:r>
    </w:p>
    <w:p>
      <w:r>
        <w:rPr>
          <w:b/>
        </w:rPr>
        <w:t>E. 4.3</w:t>
      </w:r>
    </w:p>
    <w:p>
      <w:r>
        <w:t>Unter diesen Umständen ist die Anwendung von Art. 3 Abs. 2 Dublin-III-VO - auch unter Berücksichtigung der in der Beschwerde erwähnten Quellen, in welchen das kroatische Asylwesen kritisiert wird (so zwei Berichte der Schweizerischen Flüchtlingshilfe [SFH] vom 21. Februar 2023 und vom 13. September 2022 sowie mehrere Berichte von Human Rights Watch [HRW]) - nicht gerechtfertigt.</w:t>
      </w:r>
    </w:p>
    <w:p>
      <w:r>
        <w:rPr>
          <w:b/>
        </w:rPr>
        <w:t>E. 5</w:t>
      </w:r>
    </w:p>
    <w:p>
      <w:r>
        <w:t>Nachfolgend ist zu prüfen, ob die Vorinstanz das Selbsteintrittsrecht nach Art. 17 Abs. 1 erster Satz Dublin-III-VO sowie Art. 29a Abs. 3 AsylV 1 zu Recht nicht ausgeübt hat.</w:t>
      </w:r>
    </w:p>
    <w:p>
      <w:r>
        <w:rPr>
          <w:b/>
        </w:rPr>
        <w:t>E. 5.1</w:t>
      </w:r>
    </w:p>
    <w:p>
      <w:r>
        <w:t>Der Beschwerdeführer bringt sinngemäss vor, es sei nicht gewährleistet, dass er als besonders verletzliche Person in Kroatien angemessen untergebracht und ihm effektiv Schutz gewährt werde oder ob ihm nicht erneut eine unmenschliche Behandlung durch die lokalen Behörden drohe.</w:t>
      </w:r>
    </w:p>
    <w:p>
      <w:r>
        <w:rPr>
          <w:b/>
        </w:rPr>
        <w:t>E. 5.2</w:t>
      </w:r>
    </w:p>
    <w:p>
      <w:r>
        <w:t>Der Beschwerdeführer vermag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zumal die kroatischen Behörden seiner Aufnahme gestützt auf Art. 20 Abs. 5 Dublin-III-VO explizit zugestimmt und sich damit bereit erklärt haben, die Verantwortung für die Fortführung seines Asylverfahrens zu übernehmen. Bei einer allfälligen vorübergehenden Einschränkung der ihm zustehenden Aufnahmebedingungen könnte er sich im Übrigen - wie bereits hiervor (E. 4.2) dargelegt -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Zudem steht ihm die Möglichkeit offen, die vor Ort tätigen karitativen Organisationen zu kontaktieren.</w:t>
      </w:r>
    </w:p>
    <w:p>
      <w:r>
        <w:rPr>
          <w:b/>
        </w:rPr>
        <w:t>E. 5.3</w:t>
      </w:r>
    </w:p>
    <w:p>
      <w:r>
        <w:t>Des Weiteren besteht kein Grund zur Annahme, die Gesundheit des Beschwerdeführers würde bei einer Überstellung nach Kroatien ernsthaft gefährdet. Er gab zwar im Rahmen des Dublin-Gesprächs an, er leide unter chronischen Depressionen. In den Akten finden sich weder Arztberichte mit einer entsprechenden Diagnose noch sonstige Anhaltspunkte für eine allfällige Behandlungsnotwendigkeit. Im Gegenteil, es wird festgehalten, dass der Beschwerdeführer weder in Behandlung sei noch Medikamente einnehme. Auch in der Beschwerde finden sich keine substantiierten Vorbringen zu seinem Gesundheitszustand. Dessen ungeachtet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w:t>
      </w:r>
    </w:p>
    <w:p>
      <w:r>
        <w:rPr>
          <w:b/>
        </w:rPr>
        <w:t>E. 5.4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5.5</w:t>
      </w:r>
    </w:p>
    <w:p>
      <w:r>
        <w:t>Nach dem Gesagten erweisen sich die Rügen der unrichtigen und unvollständigen Sachverhaltsermittlung als nicht stichhaltig, weshalb das Eventualbegehren auf Rückweisung der Sache zur Neubeurteilung abzuweisen ist. Zudem besteht kein Anlass, die Vorinstanz anzuweisen, explizit Zusicherungen hinsichtlich Obdach, Nahrung und adäquate medizinische Versorgung bei den kroatischen Behörden einzuholen (vgl. Referenzurteil E-1488/2020, a.a.O., E. 12). Das entsprechende Subeventualbegehren ist ebenfalls abzuweisen.</w:t>
      </w:r>
    </w:p>
    <w:p>
      <w:r>
        <w:rPr>
          <w:b/>
        </w:rPr>
        <w:t>E. 6</w:t>
      </w:r>
    </w:p>
    <w:p>
      <w:r>
        <w:t>Die Vorinstanz ist demnach zu Recht auf das Asylgesuch des Beschwerdeführers nicht eingetreten und hat die Wegweisung nach Kroatien angeordnet.</w:t>
      </w:r>
    </w:p>
    <w:p>
      <w:r>
        <w:rPr>
          <w:b/>
        </w:rPr>
        <w:t>E. 7</w:t>
      </w:r>
    </w:p>
    <w:p>
      <w:r>
        <w:t>Nach dem Gesagten ist die Beschwerde abzuweisen. Mit dem vorliegenden Urteil fällt der am 16. Januar 2024 angeordnete superprovisorische Vollzugsstopp dahin.</w:t>
      </w:r>
    </w:p>
    <w:p>
      <w:r>
        <w:rPr>
          <w:b/>
        </w:rPr>
        <w:t>E. 8.1</w:t>
      </w:r>
    </w:p>
    <w:p>
      <w:r>
        <w:t>Das Begehren erweist sich als aussichtslos, weshalb das Gesuch um unentgeltliche Prozessführung gestützt auf Art. 65 Abs. 1 VwVG e contrario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