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F-3214/2023 vom 9. Juni 2023</w:t>
      </w:r>
    </w:p>
    <w:p>
      <w:r>
        <w:t>Bundesverwaltungsgericht, 2023-06-09, FR</w:t>
      </w:r>
    </w:p>
    <w:p>
      <w:r>
        <w:rPr>
          <w:b/>
        </w:rPr>
        <w:t xml:space="preserve">Quelle: </w:t>
      </w:r>
      <w:r>
        <w:t>https://mcp.opencaselaw.ch/entscheid/bvger_F-3214_2023</w:t>
      </w:r>
    </w:p>
    <w:p>
      <w:r>
        <w:t>FR: TAF F-3214/2023 du 9 juin 2023</w:t>
      </w:r>
    </w:p>
    <w:p>
      <w:r>
        <w:t>IT: TAF F-3214/2023 del 9 giugno 2023</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En outre,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la détermination de l'âge du recourant revêt, en l'espèce, une importance primordiale tant sur le plan procédural qu'en ce qui concerne l'application du RD III.</w:t>
      </w:r>
    </w:p>
    <w:p>
      <w:r>
        <w:rPr>
          <w:b/>
        </w:rPr>
        <w:t>E. 3.2</w:t>
      </w:r>
    </w:p>
    <w:p>
      <w:r>
        <w:t>Avant de faire application de la disposition précitée, le SEM examine la compétence relative au traitement d'une demande d'asile selon les critères fixés dans le RD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OA 1;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2019 VI/7 consid. 6.4.1.1 et 2017 VI/5 consid. 6.2 et 8.2.1).</w:t>
      </w:r>
    </w:p>
    <w:p>
      <w:r>
        <w:rPr>
          <w:b/>
        </w:rPr>
        <w:t>E. 3.5</w:t>
      </w:r>
    </w:p>
    <w:p>
      <w:r>
        <w:t>En vertu de l'art. 8 par. 4 RD III - applicable dans le cadre d'une procédure de reprise en charge, par renvoi de l'art. 7 par. 3 RD III (cf. ATAF 2019 VI/7 consid. 6.4.1.3) -,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4.Il convient de se prononcer préalablement sur la minorité alléguée par le recourant. 4.1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ainsi qu'arrêt du Tribunal F-2849/2022 du 12 juillet 2022 consid. 6.2). 4.2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 4.3 En l'espèce, le Tribunal retient, à l'instar du SEM, que le recourant n'a pas déposé de document d'identité susceptible, à lui seul, de prouver sa minorité (art. 1a let. c OA 1). A cet égard, la copie de la « tazkira » fournie par l'intéressé ne revêt qu'une faible force probante s'agissant de l'établissement de son âge (cf. arrêt du TAF F-3518/2022 du 24 août 2022 consid. 3.3). Qui plus est, ce document indique que l'intéressé aurait 18 ans en 2023 et les explications du requérant à ce sujet, selon lesquelles les autorités auraient « ajouté 2 ans de plus » (cf. procès-verbal d'audition RMNA du 17 avril 2023, § 4.03), n'emportent pas la conviction. Il est donc nécessaire de déterminer s'il existe d'autres éléments au dossier permettant d'établir l'âge du recourant. 4.4 L'expertise médico-légale du 16 mai 2023, qui repose sur un examen clinique et sur un examen radiologique (en l'occurrence une radiographie standard de la dentition et de la main droite ainsi qu'un CT-scanner des articulations sterno-claviculaires), exclut la date de naissance alléguée par le recourant, soit le ... (respectivement le ...) 2007. Elle aboutit à la conclusion, en se basant sur l'estimation de l'âge dentaire, que la probabilité que le recourant ait atteint et dépassé sa 18ème année est à plus de 90,1% selon Mincer et coll. (1993) et à plus de 96,6% selon Gunst et Mesotten (2003). En conclusion des différentes évaluations faites, le docteur médecin-dentiste déclare que la moyenne d'âge du recourant est de 20,5 ans. Aussi, l'analyse de la radiographie standard de la main droite confère au recourant un âge de 19,0 ans ou plus selon l'atlas de Greulich &amp; Pyle (1959) ; selon Tisè et al. (2011), ce stade correspond à un âge osseux minimum de 16,1 ans ou plus. Quant à l'analyse effectuée au niveau des articulations sterno-claviculaires selon Kellinghaus et al. (2010), elle démontre un âge osseux correspondant à un stade 3c ; l'âge moyen d'un homme présentant ce stade est selon Wittschieber et al. (2014) de 23,6 ans, avec une déviation standard de 2,6 ans. Selon les deux méthodes d'estimation d'âge osseux appliquées, l'âge minimum de 19 ans a été retenu. 4.5 Dans ces conditions, comme le SEM l'a relevé dans sa décision dont est recours, les conclusions du rapport d'expertise médico-légale constituent un indice fort de la majorité du recourant (cf. ATAF 2018 VI/3 consid. 4.2.2 ; cf. arrêts du TAF D-4689/2022 du 8 mars 2023 consid. 5.6 et D-5601/2022 du 12 décembre 2022 consid. 5.5), quand bien même le recourant ne provient pas de la même population que les échantillons de référence utilisés (cf. en ce sens arrêt du TAF D-15/2023 du 9 janvier 2023 consid. 7.3). La date de naissance alléguée, qui supposait qu'il soit âgé de 16 ans et 1 mois au moment de dite expertise, peut dès lors être exclue. 4.6 D'autres indices plaident également en défaveur de la minorité alléguée. Outre les indications figurant sur la copie de sa « tazkira » (cf. supra, consid. 4.3), il convient de mentionner que l'intéressé a déclaré avoir quitté l'Afghanistan il y a environ trois ans, à l'âge de 14 ans. Il a allégué avoir ensuite vécu durant trois ans en lran, ce qui n'est pas compatible avec sa prétendue année de naissance, soit 2007. Il a de surcroît donné des identités différentes aux diverses autorités rencontrées lors de son parcours migratoire. Notamment, la carte d'un centre d'asile en Serbie mentionne comme date de naissance le ... 2000, alors qu'il a indiqué aux autorités autrichiennes être né le ... 2005. Bien que le recourant se dise analphabète, la copie de sa « tazkira » le qualifie « d'écolier » et sa feuille de données personnelles du 26 mars 2023 porte la mention « remplie personnellement » (« selbständig ausgefüllt »), ce qui affaiblit d'autant la crédibilité de ses déclarations. Les explications fournies par l'intéressé dans sa prise de position du 22 mai 2023, notamment sur le fait qu'en Serbie, il aurait indiqué un âge supérieur au sien pour avoir accès à un centre d'accueil ou qu'en Autriche et en Suisse, un compatriote aurait rempli pour lui les différents formulaires officiels, ne permettent pas de renverser le constat de l'âge auquel a aboutil'analyse médico-légale effectuée, laquelle revêt une valeur probante très élevée (cf. arrêts du TAF D-15/2023 du 9 janvier 2023 consid. 7.2 et 7.4.1 et D-1796/2022 du 21 avril 2022 consid. 3.6). En d'autres termes, les éléments plaidant en défaveur de la date de naissance indiquée aux autorités suisses et, partant, de la minorité alléguée par le recourant l'emportent clairement sur les seules affirmations de ce dernier. 4.7 Il s'ensuit que le SEM était fondé à considérer que l'intéressé était majeur au moment où il a statué. Celui-ci n'ayant pas établi sa minorité et sa majorité étant hautement vraisemblable, il ne peut se prévaloir des dispositions de fond ou de procédure particulières édictées en faveur des requérants d'asile mineurs (non accompagnés), avant tout des art. 8 par. 4 RD III ainsi que des art. 3 et 8 de la Convention du 20 novembre 1989 relative aux droits de l'enfant (CDE ; RS 0.107). 5.En occurrence, comme exposé précédemment, les investigations entreprises par le SEM ont permis d'établir, après consultation de l'unité centrale du système européen « Eurodac », que l'intéressé avait déposé une demande d'asile en Autriche, le 25 mars 2023. 5.1 En date du 23 mai 2023, le SEM a dès lors soumis aux autorités autrichiennes compétentes, dans le délai fixé à l'art. 23 par. 2 du RD III, une requête aux fins de reprise en charge du prénommé, fondée sur l'art. 18 par. 1 let. b de ce même règlement. 5.2 Le 24 mai 2023, soit dans le délai fixé par l'art. 25 par. 1 RD III, lesdites autorités ont expressément accepté de reprendre en charge l'intéressé, sur la base de l'art. 20 par. 5 RD III, afin de poursuivre la procédure de détermination de l'Etat Dublin compétent. Dans ces conditions et dans la mesure où aucun élément au dossier n'indique que le prénommé aurait quitté le territoire des Etats membres ou aurait obtenu un titre de séjour de la part d'un autre Etat membre dans l'intervalle (cf. art. 20 par. 5 al. 2 RD III), la compétence de l'Autriche pour achever le processus de détermination de l'Etat membre responsable de l'examen de sa demande de protection internationale doit être reconnue. A ce propos, le fait que la base réglementaire indiquée sur la demande de reprise en charge soumise par le SEM diffère de celle mentionnée par les autorités autrichiennes dans leur réponse ne saurait remettre en cause ce raisonnement. Dans ces deux hypothèses en effet, les procédures applicables - et en particulier les délais auxquels elles sont soumises - sont identiques (cf. art. 23 ss. du règlement Dublin III; cf. arrêt du TAFF-4083/2022 du 11 novembre 2022 consid. 4.7). 6.Cela étant, il y a lieu d'examiner, en vertu de l'art. 3 par. 2 al. 2 RD III, s'il y a de sérieuses raisons de croire qu'il existe en Autriche des défaillances systémiques dans la procédure d'asile et les conditions d'accueil des demandeurs, qui entraîneraient un risque de traitement inhumain ou dégradant au sens de l'art. 4 de la Charte des droits fondamentaux de l'Union européenne (JO C 364/1 du 18.12.2000, Charte UE). 6.1 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(arrêt du TAF D-15/2023 du 9 janvier 2023 consid. 9.2). 6.2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 du TAF F-4447/2022 du 11 octobre 2022 consid. 5.2). En l'absence d'une pratique de violation systématique des normes communautaires en la matière, la présomption de respect par l'Autriche de ses obligations concernant les droits des requérants d'asile n'est pas renversée. Par conséquent, l'application de l'art. 3 par. 2 du règlement Dublin III ne se justifie pas en l'espèce. 6.3 La présomption de sécurité peut être aussi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 6.4 De tels indices font défaut en l'espèce. Le recourant n'a en effet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S'agissant de ses allégués en lien avec l'enregistrement « forcé » de ses empreintes en Autriche, le Tribunal rappelle que tous les Etats Dublin sont tenus d'enregistrer les empreintes des ressortissants d'Etats tiers qui sont interceptés lors d'un passage illégal d'une frontière extérieure à l'espace Dublin (cf. art. 14 al. 1 du règlement [EU] n° 603/2013 du Parlement européen et du Conseil du 26 juin 2013 relatif à la création d'Eurodac ; au surplus, sur le caractère non-pertinent [en l'absence de preuve en ce sens] du dépôt « forcé » d'une demande d'asile dans un Etat Dublin, en lien avec le prélèvement d'empreintes digitales, cf. notamment arrêts du TAFF-1103/2022 du 23 mars 2022 consid. 6.3.4, E-1195/2021 du 30 mars 2021 consid. 4.6.1 et E-6739/2018 du 18 mars 2020 consid. 5.2). En outre, rien ne permet de considérer que les autorités autrichiennes (qui ont expressément accepté de le reprendre en charge) refuseraient de mener à terme la procédure de détermination de l'Etat Dublin compétent. 6.5 L'intéressé n'a pas non plus apporté d'indices objectifs, concrets et sérieux qu'il serait privé durablement, en Autriche, de tout accès aux conditions matérielles d'accueil prévues par la directive Accueil et qu'il ne pourrait pas bénéficier de l'aide nécessaire pour faire valoir ses droits. Enfin, il n'a pas démontré que ses conditions d'existence dans ce pays revêtiraient un tel degré de pénibilité et de gravité qu'elles seraient constitutives d'un traitement contraire à l'art. 3 CEDH ou encore à l'art. 3 CCT (cf. arrêt du TAF F-1125/2021 du 19 mars 2021 consid. 4.5). Ainsi, son transfert vers ce pays n'est pas contraire aux obligations de la Suisse découlant des dispositions conventionnelles précitées. 7.A l'appui de son recours, l'intéressé a également fait valoir qu'il souhaitait s'installer durablement en Suisse, où il avait pu nouer de bonnes relations. En cas de retour en Autriche, il n'aurait plus aucun repère. Il n'a en outre pas évoqué de problèmes de santé. 7.1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 2012/4 consid. 2.4). 7.2 Dans leur ensemble, les arguments invoqués par l'intéressé ne sont pas décisifs dans le cadre d'une procédure Dublin. Le souhait exprimé par l'intéressé de rester en Suisse relève de la pure convenance personnelle et ne saurait remettre en cause la compétence de l'Autriche pour achever le processus de détermination de l'Etat Dublin compétent pour l'examen de sa demande d'asile. Il convient à cet égard de rappeler que le règlement Dublin III ne confère pas aux demandeurs d'asile le droit de choisir l'Etat membre offrant, à leur avis, les meilleures conditions d'accueil comme Etat responsable de l'examen de leur demande d'asile (cf. ATAF 2010/45 consid. 8.3). Le dossier de la cause ne fait pas apparaître la présence de « raisons humanitaires » au sens de l'art. 29a al. 3 OA 1. Dans ces conditions, il ne peut être reproché à l'autorité inférieure de ne pas avoir fait application de la clause de souveraineté ancrée à l'art. 17 par. 1 du règlement Dublin III ou à l'art. 29a al. 3 OA 1. A défaut d'application par la Suisse de cette clause de souveraineté, l'Autriche est tenue, en vertu de l'art. 20 par. 5 du règlement Dublin III, de reprendre en charge le recourant dans les conditions prévues aux art. 23, 24, 25 et 29 dudit règlement. 7.3 Le SEM, en rendant sa décision de non-entrée en matière Dublin et en prononçant le transfert de l'intéressé vers l'Autriche, n'a violé ni les obligations internationales de la Suisse ni le droit fédéral. Partant, le recours doit être rejeté. 7.4 S'avérant manifestement infondé, il est rejeté dans une procédure à juge unique, avec l'approbation d'un second juge (art. 111 let. e LAsi). Il est dès lors renoncé à un échange d'écritures, le présent arrêt n'étant motivé que sommairement (art. 111a al. 1 et 2 LAsi). 7.5 Dans la mesure où il a été immédiatement statué sur le fond, la requête tendant à l'octroi de l'effet suspensif est sans objet, les mesures superprovisionnelles octroyées le 6 juin 2023 devenant pour le reste caduques par le présent prononcé. Pour le même motif, la requête tendant à l'exemption du versement d'une avance de frais est sans objet. Les conclusions du recours étant d'emblée vouées à l'échec, la requête d'assistance judiciaire totale (recte : partielle) doit être rejetée (art. 65 PA).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