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F-3179/2019 vom 15. März 2021</w:t>
      </w:r>
    </w:p>
    <w:p>
      <w:r>
        <w:t>Bundesverwaltungsgericht, 2021-03-15, IT</w:t>
      </w:r>
    </w:p>
    <w:p>
      <w:r>
        <w:rPr>
          <w:b/>
        </w:rPr>
        <w:t xml:space="preserve">Quelle: </w:t>
      </w:r>
      <w:r>
        <w:t>https://mcp.opencaselaw.ch/entscheid/bvger_F-3179_2019</w:t>
      </w:r>
    </w:p>
    <w:p>
      <w:r>
        <w:t>FR: TAF F-3179/2019 du 15 mars 2021</w:t>
      </w:r>
    </w:p>
    <w:p>
      <w:r>
        <w:t>IT: TAF F-3179/2019 del 15 marzo 2021</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22 maggio 2019,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cpv.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22 maggio 2019, pronunciante un divieto d'entrata in Svizzera e nel Liechtenstein di tre anni (22.5.2019 - 21.5.2022), di cui il ricorrente chiede l'annullamento.</w:t>
      </w:r>
    </w:p>
    <w:p>
      <w:r>
        <w:rPr>
          <w:b/>
        </w:rPr>
        <w:t>E. 4</w:t>
      </w:r>
    </w:p>
    <w:p>
      <w:r>
        <w:t>L'ALC è applicabile ratione temporis, ratione personae e ratione materiae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Di conseguenza, bisogna nel prosieguo verificare se la SEM, nel pronunciare il divieto d'entrata in sé e nel fissarne la durata a tre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È quindi applicabile la legge federale sugli stranieri del 16 dicembre 2005 (LStr), che regola i divieti d'entrata all'art. 67, la quale è stata, con effetto dal 1° gennaio 2019, ridenominata legge federale sugli stranieri e la loro integrazione (LStrI, RS 142.20).</w:t>
      </w:r>
    </w:p>
    <w:p>
      <w:r>
        <w:rPr>
          <w:b/>
        </w:rPr>
        <w:t>E. 6.1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147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la sentenza del Tribunale federale 2C_903/2010 del 6 giugno 2011 consid. 4.3.2 e DTF 136 II 5 consid. 4.2).</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6.5</w:t>
      </w:r>
    </w:p>
    <w:p>
      <w:r>
        <w:t>È ancora pertinente sottolineare che, secondo una giurisprudenza consolidata,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per 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le sentenze TAF F-2303/2019 del 23 febbraio 2021 consid. 7.1.2 e C-2463/2013 del 7 maggio 2015 consid. 8.4).</w:t>
      </w:r>
    </w:p>
    <w:p>
      <w:r>
        <w:rPr>
          <w:b/>
        </w:rPr>
        <w:t>E. 7</w:t>
      </w:r>
    </w:p>
    <w:p>
      <w:r>
        <w:t>In prosieguo importa stabilire se le condizioni per emettere un divieto d'entrata in sé (minaccia almeno di una certa gravità) fossero adempiute il 22 maggio 2019 (cfr. le sentenze del Tribunale federale 2C_66/2018 del 7 maggio 2018 consid. 5.3.1 e 2C_784/2014 del 24 aprile 2015 consid. 3.2 in fine); nell'affermativa, bisognerà precisare l'intensità della gravità della minaccia (minaccia solo di una certa gravità o minaccia grave).</w:t>
      </w:r>
    </w:p>
    <w:p>
      <w:r>
        <w:rPr>
          <w:b/>
        </w:rPr>
        <w:t>E. 7.1</w:t>
      </w:r>
    </w:p>
    <w:p>
      <w:r>
        <w:t>Il ricorrente è stato condannato in Italia a due riprese per delitti patrimoniali, ossia nel 2004 in relazione ad un fatto sopravvenuto nel 2002 (omesso versamento delle ritenute previdenziali), e nel 2006 in seguito a fatti intercorsi dal 2001 al 2004 (cinque bancarotte fraudolenti, falsità in scrittura privata, due omesse tenute delle scritture contabili e due emissioni di fatture per operazioni inesistenti). Per il resto, il ricorrente è incensurato sia negli altri Stati dell'Unione europea che in Svizzera.</w:t>
      </w:r>
    </w:p>
    <w:p>
      <w:r>
        <w:rPr>
          <w:b/>
        </w:rPr>
        <w:t>E. 7.2</w:t>
      </w:r>
    </w:p>
    <w:p>
      <w:r>
        <w:t>In base a questa configurazione penale si deve riconoscere, da un lato, che le condanne, esclusivamente per delitti contro il patrimonio (2004 e 2006), risalivano già, quando la SEM ha emanato la decisione impugnata (2019), a circa quindici, rispettivamente tredici anni di distanza, ossia delle durate oggettivamente apprezzabili, per dei fatti in parte ancora più distanti nel tempo (2001 - 2004). Dall'altro lato, non si può negare che il ricorrente non ha più interessato la giustizia penale né sotto questo profilo, né sotto altri profili, emendando la sua condotta con il passare del tempo. In questo senso, non si può dunque affermare che i precedenti penali del ricorrente dimostrino "una propensione a trasgredire la legge nonché un'incapacità a cambiare comportamento" (sentenza del Tribunale federale 2C_452/2017 del 2 luglio 2018 consid. 4.4). Nondimeno, specialmente rispetto alla bancarotta fraudolenta (cfr. art. 163 del Codice penale [CP, RS 311], prevedente una pena detentiva fino a cinque anni in caso di fallimento), la cui commissione avviene in ambito imprenditoriale, è lecito ammettere con la SEM che il ricorrente, anche alla luce del suo coinvolgimento nelle attività della "B._______", sciolta per fallimento, presentava nel maggio 2019, sebbene non detenesse più alcun permesso di soggiorno, un rischio di reiterazione che lo rendeva una minaccia di una certa gravità, ancora attuale ed effettiva, per l'ordine e la sicurezza pubblici svizzeri. Per contro, il fatto che il ricorrente abbia indicato, al momento dell'autocertificazione, di essere incensurato in Italia, non può interpretarsi, benché riprovevole, come costitutivo, nell'ottica del divieto d'entrata, di una minaccia attuale, effettiva e sufficientemente grave di un interesse fondamentale per la società (cfr. consid. 6.3). Ciò non toglie nulla alla gravità di questo fatto, che può avere conseguenze penali nell'ambito della procedura per il rilascio del permesso di soggiorno (cfr. art. 118 LStrI). Di conseguenza, tenuto conto di queste circostanze nel loro insieme, la pronuncia di un divieto d'entrata, il 22 maggio 2019, non oltrepassante la durata di cinque anni, era giustificata (cfr. consid. 6.2, 6.3 e 6.4).</w:t>
      </w:r>
    </w:p>
    <w:p>
      <w:r>
        <w:rPr>
          <w:b/>
        </w:rPr>
        <w:t>E. 8</w:t>
      </w:r>
    </w:p>
    <w:p>
      <w:r>
        <w:t>Si tratta ora di verificare se la durata di tre anni del divieto d'entrata fosse anche proporzionale, e ciò in funzione del complesso delle circostanze del caso, nel quadro del diritto del ricorrente alla libera circolazione garantito dall'ALC (cfr. consid. 4), nonché, se del caso, del suo diritto al rispetto della propria vita privata e familiare secondo l'art. 8 § 1 della Convenzione europea dei diritti dell'uomo (CEDU, RS 0.101).</w:t>
      </w:r>
    </w:p>
    <w:p>
      <w:r>
        <w:rPr>
          <w:b/>
        </w:rPr>
        <w:t>E. 8.1</w:t>
      </w:r>
    </w:p>
    <w:p>
      <w:r>
        <w:t>In generale, l'attività dello Stato deve rispondere al pubblico interesse ed essere proporzionata allo scopo (art. 5 cpv. 2 della Costituzione federale/Cost., RS 101).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8.2</w:t>
      </w:r>
    </w:p>
    <w:p>
      <w:r>
        <w:t>A proposito dell'art. 8 § 1 CEDU bisogna precisare che, benché non garantisca il diritto di entrata e di soggiorno in Svizzera (cfr. DTF 140 I 145 consid. 3.1 e 139 I 330 consid. 2.1 con i rinvii), esso estende la sua protezione, sotto il profilo del diritto al rispetto della vita privata, anche alle eventuali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8.3</w:t>
      </w:r>
    </w:p>
    <w:p>
      <w:r>
        <w:t>In concreto, conviene subito rilevare che il ricorrente non può, e non pretende nemmeno il contrario, prevalersi della protezione garantita dall'art. 8 § 1 CEDU, nella misura in cui non ha una vita privata e familiare in Svizzera nel senso inteso da questa norma convenzionale. Ciò premesso, come già osservato in precedenza, il ricorrente non ha più commesso bancarotte fraudolenti dal 2004, ed è incensurato in Svizzera e altrove in Europa, salvo in Italia. Oltretutto, non soggiorna più in Ticino in seguito al non rinnovo da parte dell'UMCT del suo permesso di dimora "B" UE/AELS. Stando così le cose, si deve constatare che il ricorrente usufruisce e/o ha l'intenzione di usufruire della libertà di circolazione unicamente sotto il profilo del semplice diritto d'ingresso (cfr. consid. 4), con la precisazione che, se volesse riprendere l'esercizio di un'attività lucrativa in Ticino, per esempio come imprenditore individuale, dovrebbe comunque procacciarsi un nuovo permesso "B" UE/AELS. In questo senso, non si può ragionevolmente sostenere che il ricorrente rappresenti ancora, nel 2021, una minaccia attuale per l'ordine pubblico svizzero, segnatamente nella prospettiva della prevenzione dei delitti contro il patrimonio, tantomeno alla luce della notevole lontananza nel tempo delle cinque bancarotte fraudolenti sanzionate in Italia. Cosicché, in funzione di questi elementi, la durata di tre anni del divieto d'entrata non si rivela essere del tutto convincente sotto il profilo della proporzionalità.</w:t>
      </w:r>
    </w:p>
    <w:p>
      <w:r>
        <w:rPr>
          <w:b/>
        </w:rPr>
        <w:t>E. 8.4</w:t>
      </w:r>
    </w:p>
    <w:p>
      <w:r>
        <w:t>Di conseguenza, questo Tribunale considera che un divieto d'entrata valido fino alla data della presente sentenza, anziché di tre anni, è più conforme alle esigenze della proporzionalità e, di riflesso, alle condizioni restrittive poste dall'ALC per limitare i diritti del ricorrente derivanti dalla libera circolazione delle persone, in particolare il diritto d'ingresso.</w:t>
      </w:r>
    </w:p>
    <w:p>
      <w:r>
        <w:rPr>
          <w:b/>
        </w:rPr>
        <w:t>E. 9</w:t>
      </w:r>
    </w:p>
    <w:p>
      <w:r>
        <w:t>In conclusione, pronunciando un divieto d'entrata di tre anni, la SEM ha violato l'art. 67 cpv. 3 LStrI, l'ALC nonché il principio di proporzionalità nell'esercizio del suo potere d'apprezzamento (art. 49 lett. a PA). Per questa ragione, in accordo con le considerazioni sopraesposte, il ricorso deve essere parzialmente accolto e la decisione impugnata riformata, nel senso che il divieto d'entrata è valido dal 22 maggio 2019 fino alla data della presente sentenza.</w:t>
      </w:r>
    </w:p>
    <w:p>
      <w:r>
        <w:rPr>
          <w:b/>
        </w:rPr>
        <w:t>E. 10.1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(artt. 63 cpv. 4bis PA e 2 cpv. 1 TS-TAF). In concreto, siccome le conclusioni del ricorrente sono state parzialmente accolte in relazione alla fissazione della durata del divieto d'entrata, è giusto porre a suo carico, a titolo di spese processuali ridotte, fr. 800.- da prelevare sull'anticipo di fr. 1'200.- da lui già versato. Di conseguenza, fr. 400.- saranno restituiti al ricorrente una volta che la presente sentenza sarà cresciuta in giudicato.</w:t>
      </w:r>
    </w:p>
    <w:p>
      <w:r>
        <w:rPr>
          <w:b/>
        </w:rPr>
        <w:t>E. 10.2</w:t>
      </w:r>
    </w:p>
    <w:p>
      <w:r>
        <w:t>Considerato che il ricorso è parzialmente ammesso, il ricorrente, che è rappresentato da un avvocato, ha diritto a un'indennità, ridotta in proporzione, per le spese necessarie derivanti dalla causa (spese ripetibili: art. 64 cpv. 1 PA e art. 7 cpv. 1 e 2 TS-TAF). Dato che il ricorrente non ha presentato alcuna nota d'onorario, l'indennità deve essere fissata sulla base degli atti di causa (art. 14 cpv. 2 TS-TAF). Ora, alla luce dell'ampiezza e del contenuto del ricorso, a cui non ha fatto seguito alcuna replica, è appropriato attribuire al ricorrente un'indennità ridotta per spese ripetibili di fr. 1'000.- (onorario e spese d'avvocato).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