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F-3176/2025 vom 12. Mai 2025</w:t>
      </w:r>
    </w:p>
    <w:p>
      <w:r>
        <w:t>Bundesverwaltungsgericht, 2025-05-12, DE</w:t>
      </w:r>
    </w:p>
    <w:p>
      <w:r>
        <w:rPr>
          <w:b/>
        </w:rPr>
        <w:t xml:space="preserve">Quelle: </w:t>
      </w:r>
      <w:r>
        <w:t>https://mcp.opencaselaw.ch/entscheid/bvger_F-3176_2025</w:t>
      </w:r>
    </w:p>
    <w:p>
      <w:r>
        <w:t>FR: TAF F-3176/2025 du 12 mai 2025</w:t>
      </w:r>
    </w:p>
    <w:p>
      <w:r>
        <w:t>IT: TAF F-3176/2025 del 12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Die Vorinstanz hat korrekt erwogen, dass gestützt auf Art. 18 Abs. 1 Bst. b Dublin-III-VO grundsätzlich Österreich für die Behandlung des Asylgesuchs des Beschwerdeführers zuständig ist, dass das österreichische Asylsystem rechtsprechungsgemäss keine systemischen Mängel aufweist (vgl. statt vieler: Urteil des BVGer F-1736/2025 vom 4. April 2025 E. 2.1),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Österreich angeordnet. Zur näheren Begründung ist auf die ausführlichen vorinstanzlichen Erwägungen zu verweisen.</w:t>
      </w:r>
    </w:p>
    <w:p>
      <w:r>
        <w:rPr>
          <w:b/>
        </w:rPr>
        <w:t>E. 2.2.1</w:t>
      </w:r>
    </w:p>
    <w:p>
      <w:r>
        <w:t>Die Ausführungen auf Beschwerdeebene vermögen nichts an der Richtigkeit der angefochtenen Verfügung zu ändern. Anlässlich der Befragung durch die kantonalen Behörden am 20. März 2025 gab der Beschwerdeführer an, er sei vor zirka 15 Tagen in die Schweiz eingereist und habe sich zuvor in Österreich aufgehalten. Das Protokoll wurde dem Beschwerdeführer übersetzt und er bestätigte mit seiner Unterschrift die Richtigkeit der Angaben. Angesichts dessen erweist sich sein Vorbringen, er habe nie angegeben, vor 15 Tagen in die Schweiz eingereist zu sein, als aktenwidrig. Vor diesem Hintergrund ist die sinngemäss in diesem Zusammenhang erhobene Rüge der Verletzung der Informationspflicht im Sinn von Art. 34 Dublin-III-VO unbegründet.</w:t>
      </w:r>
    </w:p>
    <w:p>
      <w:r>
        <w:rPr>
          <w:b/>
        </w:rPr>
        <w:t>E. 2.2.2</w:t>
      </w:r>
    </w:p>
    <w:p>
      <w:r>
        <w:t>Der Beschwerdeführer legt weder substantiiert dar noch ist ersichtlich, dass die Zuständigkeit Österreichs erloschen sein könnte. Ein Verlassen des Hoheitsgebiets der Dublin-Staaten für mindestens drei Monate im Sinn von Art. 19 Abs. 2 Dublin-III-VO wird weder vorgebracht noch bestehen Hinweise dafür. Die österreichischen Behörden haben mit ihrer expliziten Zustimmung zur Wiederaufnahme des Beschwerdeführers gestützt auf Art. 18 Abs. 1 Bst. b Dublin-III-VO denn auch bestätigt, dass sie sich weiterhin für dessen Asylverfahren als zuständig erachten.</w:t>
      </w:r>
    </w:p>
    <w:p>
      <w:r>
        <w:rPr>
          <w:b/>
        </w:rPr>
        <w:t>E. 3</w:t>
      </w:r>
    </w:p>
    <w:p>
      <w:r>
        <w:t>Nach dem Gesagten ist die Vorinstanz zu Recht auf das Asylgesuch des Beschwerdeführers nicht eingetreten und hat seine Wegweisung nach Österreich angeordnet. Der rechtserhebliche Sachverhalt ist hinlänglich erstellt, weshalb der nicht näher begründete Eventualantrag auf Rückweisung der Sache an die Vorinstanz zur Neubeurteilung abzuweisen ist. Die angefochtene Verfügung erweist sich als rechtmässig (Art. 106 Abs. 1 AsylG). Die Beschwerde ist abzuweisen. Mit dem vorliegenden Urteil fällt der angeordnete Vollzugsstopp dahin.</w:t>
      </w:r>
    </w:p>
    <w:p>
      <w:r>
        <w:rPr>
          <w:b/>
        </w:rPr>
        <w:t>E. 4</w:t>
      </w:r>
    </w:p>
    <w:p>
      <w:r>
        <w:t>Die Begehren waren - wie gezeigt - von vornherein aussichtslos, weshalb das Gesuch um Gewährung der unentgeltlichen Prozessführung (Art. 65 Abs. 1 VwVG) abzuweisen ist. Die Verfahrenskosten sind dem unterliegenden Beschwerdeführer aufzuerlegen (Art. 63 Abs. 1 VwVG) und praxisgemäss auf insgesamt Fr. 1'500.- festzusetzen (Art. 1-3 des Reglements vom 21. Februar 2008 über die Kosten und Entschädigungen vor dem Bundesverwaltungsgericht [VGKE, SR 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