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F-316/2021 vom 29. Januar 2021</w:t>
      </w:r>
    </w:p>
    <w:p>
      <w:r>
        <w:t>Bundesverwaltungsgericht, 2021-01-29, FR</w:t>
      </w:r>
    </w:p>
    <w:p>
      <w:r>
        <w:rPr>
          <w:b/>
        </w:rPr>
        <w:t xml:space="preserve">Quelle: </w:t>
      </w:r>
      <w:r>
        <w:t>https://mcp.opencaselaw.ch/entscheid/bvger_F-316_2021</w:t>
      </w:r>
    </w:p>
    <w:p>
      <w:r>
        <w:t>FR: TAF F-316/2021 du 29 janvier 2021</w:t>
      </w:r>
    </w:p>
    <w:p>
      <w:r>
        <w:t>IT: TAF F-316/2021 del 29 gennaio 2021</w:t>
      </w:r>
    </w:p>
    <w:p>
      <w:pPr>
        <w:pStyle w:val="Heading2"/>
      </w:pPr>
      <w:r>
        <w:t>Regeste</w:t>
      </w:r>
    </w:p>
    <w:p>
      <w:r>
        <w:t>Asile (non-entrée en matière / procédure Dublin) et renvoi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 Dès lors que le recourant a qualité pour recourir (cf. art. 48 al. 1 PA), son recours, qui a été présenté dans la forme (cf. art. 52 al. 1 PA) et le délai (cf. art. 108 al. 3 LAsi) prescrits par la loi, est recevable.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w:t>
      </w:r>
    </w:p>
    <w:p>
      <w:r>
        <w:rPr>
          <w:b/>
        </w:rPr>
        <w:t>E. 3.3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3.4</w:t>
      </w:r>
    </w:p>
    <w:p>
      <w:r>
        <w:t>En l'espèce, les investigations entreprises par le SEM, à travers la consultation de l'unité centrale du système européen « Eurodac », ont révélé que le recourant avait franchi irrégulièrement la frontière du territoire des Etats Dublin en Italie. Pour sa part, l'intéressé, lors d'un entretien individuel Dublin ayant eu lieu le 27 octobre 2020, a indiqué avoir quitté son pays d'origine le 21 août 2020 et s'être ensuite rendu à Palerme le 2 septembre 2020 où il aurait été contraint de donner ses empreintes digitales. Ainsi, en se fondant sur ces éléments, le SEM a soumis aux autorités italiennes compétentes, dans les délais fixés à l'art. 21 par. 1 du règlement Dublin III, une requête aux fins de prise en charge, fondée sur l'art. 13 al. 1 du règlement Dublin III. L'Italie n'ayant pas réagi à la demande de prise en charge des autorités suisses, la compétence pour traiter la demande d'asile du recourant est passée à cet Etat, ce que le recourant ne remet pas en cause dans son recours.</w:t>
      </w:r>
    </w:p>
    <w:p>
      <w:r>
        <w:rPr>
          <w:b/>
        </w:rPr>
        <w:t>E. 4.1</w:t>
      </w:r>
    </w:p>
    <w:p>
      <w:r>
        <w:t>A l'appui de son pourvoi, l'intéressé a expliqué qu'il ne souhaitait pas être renvoyé en Italie. A son arrivée dans ce pays, il avait refusé de donner ses empreintes digitales. Afin de forcer les requérants à le faire, des policiers avaient frappé l'un d'entre eux à titre d'exemple. Les conditions de vie du centre dans lequel il avait été placé étaient très mauvaises, il n'était notamment pas possible de se nettoyer, les requérants étaient maltraités et recevaient « juste assez d'argent pour s'acheter une corde et se suicider ». Après avoir tenté une première fois sans succès de venir en Suisse, il avait été renvoyé par les autorités suisses vers l'Italie. Les autorités italiennes ne l'auraient alors pas pris en charge et il aurait été livré à lui-même (cf. pce SEM 15 p. 1 et mémoire de recours p. 2).</w:t>
      </w:r>
    </w:p>
    <w:p>
      <w:r>
        <w:rPr>
          <w:b/>
        </w:rPr>
        <w:t>E. 4.2</w:t>
      </w:r>
    </w:p>
    <w:p>
      <w:r>
        <w:t>Dans la mesure où, par le biais de ces allégations, le recourant entendrait implicitement se prévaloir de la présence de défaillances systémiques en Italie dans le sens de l'art. 3 par. 2 du règlement Dublin III, il ne saurait être suivi. En effet, le Tribunal rappelle que l'Italie est liée à la Charte UE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Cela étant, le Tribunal a récemment confirmé une jurisprudence constante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S'agissant des conditions générales de l'accueil des requérants d'asile en Italie, il convient par ailleurs de relever que le Décret-loi n° 130/2020, entré en vigueur le 20 décembre 2020 améliore leurs conditions de vie. Compte tenu de l'ensemble de ces éléments, le Tribunal ne saurait conclure à la présence de défaillance systémique en Italie.</w:t>
      </w:r>
    </w:p>
    <w:p>
      <w:r>
        <w:rPr>
          <w:b/>
        </w:rPr>
        <w:t>E. 4.3</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2017 VI/5 consid. 8.5.2; sur l'ensemble de ces questions, cf. également l'arrêt du TAF F-5470/2018 du 28 janvier 2019 consid. 6.2, et les réf. cit.).</w:t>
      </w:r>
    </w:p>
    <w:p>
      <w:r>
        <w:rPr>
          <w:b/>
        </w:rPr>
        <w:t>E. 4.4</w:t>
      </w:r>
    </w:p>
    <w:p>
      <w:r>
        <w:t>En l'espèce, il n'y a pas lieu de retenir que, dans le cas concret, l'Italie ne respecterait pas ses obligations issues du droit international envers le recourant. D'une part, en tant que le recourant prétend ne pas avoir reçu un soutien suffisant de la part des autorités italiennes et avoir été maltraité par celles-ci, le Tribunal relève qu'aucune preuve ne permet de démontrer que sa situation sera identique une fois son statut régularisé en Italie. Si cela devait toutefois se reproduire, il incombera dès lors à l'intéressé, cas échéant, de s'adresser aux autorités policières ou judiciaires italiennes compétentes pour dénoncer les sévices allégués. A ce titre, il convient de rappeler que l'Italie est un Etat de droit et qu'il n'existe pas d'indice laissant penser que les autorités italiennes n'offriraient pas de protection adéquate contre les agissements décrits par le recourant. D'autre part, en ce qui concerne le volet médical, il ressort du dossier que l'intéressé a indiqué souffrir d'insomnies, de réveils fréquents, de cauchemars et de pensées négatives (cf. dossier N pce 16/2 et 15/2). Après qu'un épisode dépressif moyen lui ait été diagnostiqué, il s'est vu prescrire un traitement à base de Mirtazapine, en complément d'un suivi psychiatrique et psychothérapeutique (cf. dossier N pce 24/2). Cela étant, le Tribunal relève que l'intéressé n'a pas établi, dans le cadre de son recours, qu'il ne serait pas en mesure de voyager ou que son transfert vers l'Italie représenterait un danger concret pour sa santé (cf. aussi, dans ce sens, arrêt du TAF F-3595/2019 du 18 juillet 2019). Le dossier ne contient d'ailleurs pas d'éléments d'ordre médical qui feraient apparaître les problèmes de santé soulevés dans le mémoire de recours comme atteignant une gravité telle qu'elle ferait obstacle à l'exécution du transfert vers l'Italie. Dans ce contexte, on rappellera que même un risque de suicide, non avéré en l'espèce (cf. fiche de consultation du 6 novembre 2020), chez une personne dont le transfert a été ordonné, n'empêche pas un Etat de mettre en oeuvre la mesure envisagée, si tant est que des mesures concrètes soient prises pour en prévenir la réalisation (cf. arrêt de la CourEDH A.S contre Suisse du 30 juin 2015, requête n° 39350/13, par. 34 [voir aussi, sur ce point, notamment ATAF 2017 VI/7 consid. 6.4 et arrêt du TAF F-4151/2018]). En cas de besoin, il incombera ainsi aux autorités suisses chargées de l'exécution du transfert de transmettre aux autorités italiennes les renseignements permettant une prise en charge médicale adéquate (cf. art. 31 et 32 du règlement Dublin III). Par ailleurs, rien ne permet d'admettre que l'Italie refuserait ou renoncerait à une prise en charge médicale adéquate dans le cas du recourant, étant précisé que cet Etat dispose de structures médicales similaires à celles existant en Suisse (cf. notamment arrêt du Tribunal D-5522/2018 précité). Le transfert du recourant en Italie ne représente donc aucun danger concret pour sa santé.</w:t>
      </w:r>
    </w:p>
    <w:p>
      <w:r>
        <w:rPr>
          <w:b/>
        </w:rPr>
        <w:t>E. 4.5</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5</w:t>
      </w:r>
    </w:p>
    <w:p>
      <w:r>
        <w:t>Au vu de ce qui précède, c'est de manière fondée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6</w:t>
      </w:r>
    </w:p>
    <w:p>
      <w:r>
        <w:t>Les conclusions du recours étant d'emblée vouées à l'échec, la requête d'assistance judiciaire totale contenue dans le mémoire de recours est rejetée.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en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