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F-3163/2017 vom 12. März 2019</w:t>
      </w:r>
    </w:p>
    <w:p>
      <w:r>
        <w:t>Bundesverwaltungsgericht, 2019-03-12, DE</w:t>
      </w:r>
    </w:p>
    <w:p>
      <w:r>
        <w:rPr>
          <w:b/>
        </w:rPr>
        <w:t xml:space="preserve">Quelle: </w:t>
      </w:r>
      <w:r>
        <w:t>https://mcp.opencaselaw.ch/entscheid/bvger_F-3163_2017</w:t>
      </w:r>
    </w:p>
    <w:p>
      <w:r>
        <w:t>FR: TAF F-3163/2017 du 12 mars 2019</w:t>
      </w:r>
    </w:p>
    <w:p>
      <w:r>
        <w:t>IT: TAF F-3163/2017 del 12 marzo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6. April 2017 ist Art. 67 AIG. Dieser ist inhaltlich identisch mit Art. 67 des Ausländergesetzes (AuG), welches auf den 1. Januar 2019 hin eine namentliche und inhaltliche Anpassung erfuhr. Die Absätze 1 und 2 dieser Bestimmung zählen eine Reihe von Tatbeständen auf, welche ein Einreiseverbot nach sich ziehen oder nach sich ziehen können.</w:t>
      </w:r>
    </w:p>
    <w:p>
      <w:r>
        <w:rPr>
          <w:b/>
        </w:rPr>
        <w:t>E. 3.2</w:t>
      </w:r>
    </w:p>
    <w:p>
      <w:r>
        <w:t>Gemäss Art. 67 Abs. 2 Bst. a AIG kann das SEM ein Einreiseverbot gegenüber ausländischen Personen verfügen, die gegen die öffentliche Sicherheit und Ordnung in der Schweiz oder im Ausland verstossen haben oder diese gefährden.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welche in Bezug auf die Regelungen zum Einreiseverbot weiterhin massgeblich ist; vgl. auch BVGE 2008/24 E. 4.2). Die öffentliche Sicherheit und Ordnung im Sinne von Art. 67 Abs. 2 Bst. a AIG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77a Abs. 2 VZAE; inhaltlich identisch mit Art. 80 Abs. 2 VZAE in der bis zum 31. Dezember 2018 geltenden Fassung). Bestand ein solches Verhalten in der Vergangenheit, so wird die Gefahr entsprechender künftiger Störungen von Gesetzes wegen vermutet (vgl. Botschaft, a.a.O., S. 3760 sowie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des Einreiseverbots hält die Vorinstanz fest, der Beschwerdeführer habe dadurch, dass er sich weit über den bewilligungsfreien Aufenthalt hinaus im Schengenraum aufgehalten habe, gegen die schengenrechtlichen Einreisevoraussetzungen verstossen, womit eine ernsthafte Gefährdung der öffentlichen Sicherheit und Ordnung einhergehe (Art. 67 Abs. 2 Bst. a AIG). Die Verfügung einer Fernhaltemassnahme sei deshalb angezeigt. Auch unter Berücksichtigung der Stellungnahme im Rahmen des rechtlichen Gehörs erweise sich die vorliegende Fernhaltemassnahme als verhältnismässig und gerechtfertigt.</w:t>
      </w:r>
    </w:p>
    <w:p>
      <w:r>
        <w:rPr>
          <w:b/>
        </w:rPr>
        <w:t>E. 4.2</w:t>
      </w:r>
    </w:p>
    <w:p>
      <w:r>
        <w:t>Demgegenüber wird in der Beschwerde im Wesentlichen geltend gemacht, dem Beschwerdeführer sei ein fataler Irrtum unterlaufen. Ihm sei bekannt und bewusst gewesen, dass er sich als Tourist maximal drei Monate in der Schweiz beziehungsweise im Schengenraum aufhalten dürfe. Er habe jeweils darauf geachtet, dass er sich hier nicht länger als drei Monate aufhalte, so auch bei seinem letzten Besuch. Ihm sei nicht bekannt gewesen und er sei sich nicht bewusst gewesen, dass er sich nach der Ausreise wiederum mindestens drei Monate in Mazedonien aufhalten müsse, bevor er erneut in den Schengenraum beziehungsweise in die Schweiz einreisen könne. Dieser fatale Irrtum und diese Unkenntnis würden ihm nun zum Verhängnis, da er sich allgemein einen Monat in Mazedonien aufgehalten habe, bevor er wieder in den Schengenraum beziehungsweise in die Schweiz eingereist sei. Es sei ganz klar, dass der Grundsatz "ignorantia iuris nocet" gelte, wonach sich der Beschwerdeführer grundsätzlich nicht auf Unkenntnis berufen dürfe. Andererseits könne darauf hingewiesen werden, dass im Zivilrecht Irrtum berücksichtigt werde (vgl. Art. 23ff. OR). Zudem gebe es einen Grundsatz "Gnade vor Recht". Es gelte auch festzuhalten, dass der Beschwerdeführer einen guten Leumund habe und seit einigen Monaten verheiratet sei, wobei seine Ehefrau trotz mazedonischer Staatsbürgerschaft ordentlichen Wohnsitz in der Schweiz habe. Ein Einreiseverbot von zwei Jahren sei für das junge Ehepaar eine sehr harte und schwierige Probe. Der Beschwerdeführer sei bestrebt, seine seit dem 29. September 2016 bestehende junge Ehe auf ein gutes Fundament zu stellen. Daher habe er auch versucht, eine Arbeitsstelle zu finden. Seine Frau und die zukünftige Familie sei für ihn das Allerwichtigste im Leben. Selbstverständlich werde er sich in Zukunft strikt an die einschlägigen Gesetze halten und sich entsprechend informieren. Er werde, solange er nur als Tourist in die Schweiz und in den Schengenraum reise, die entsprechenden Termine einhalten. Auch die ihm auferlegte Busse habe er inzwischen bezahlt.</w:t>
      </w:r>
    </w:p>
    <w:p>
      <w:r>
        <w:rPr>
          <w:b/>
        </w:rPr>
        <w:t>E. 4.3</w:t>
      </w:r>
    </w:p>
    <w:p>
      <w:r>
        <w:t>Replikweise wird in Erinnerung gerufen, dass im vorliegenden Fall "Gnade vor Recht" gewährt werden sollte. Es sei seitens des Beschwerdeführers sicherlich keine böse Absicht gewesen, den entsprechenden Termin nicht zu beachten, vielmehr sei dieses Versehen dem Übermut und Leichtsinn eines frisch Verheirateten zuzuschreiben, der nichts anderes im Kopf habe und für den nichts anderes bedeutungsvoller sei als seine neuvermählte Ehefrau und seine junge Ehe. Er habe sich offensichtlich keinen Gedanken über entsprechende Fristen gemacht.</w:t>
      </w:r>
    </w:p>
    <w:p>
      <w:r>
        <w:rPr>
          <w:b/>
        </w:rPr>
        <w:t>E. 5.1</w:t>
      </w:r>
    </w:p>
    <w:p>
      <w:r>
        <w:t>Als mazedonischer Staatsangehöriger mit einem biometrischen Reisepass ist der Beschwerdeführer für Kurzaufenthalte von 90 Tagen innerhalb eines Zeitraums von 180 Tagen von der Visumspflicht befreit (vgl. Art. 8 Abs. 3 der Verordnung vom 15. August 2018 über die Einreise und die Visumerteilung [VEV, SR 142.204]). Für einen längerfristigen Aufenthalt in der Schweiz benötigt er als Staatsangehöriger eines Nichtmitgliedstaats der EU und der EFTA ein entsprechendes Visum (vgl. Art. 9 Abs. 1 VEV).</w:t>
      </w:r>
    </w:p>
    <w:p>
      <w:r>
        <w:rPr>
          <w:b/>
        </w:rPr>
        <w:t>E. 5.2</w:t>
      </w:r>
    </w:p>
    <w:p>
      <w:r>
        <w:t>Am 27. März 2017 wurde von der Grenzkontrolle am Flughafen Zürich festgestellt, dass der Beschwerdeführer seinen bewilligungsfreien Aufenthalt um 60 Tage überzogen hatte (vgl. SEM-act. 2, S. 18). Das Statthalteramt Bezirk Bülach verurteilte ihn aufgrund dieses Sachverhalts mit Strafbefehl vom 27. April 2017 zu einer Busse von Fr. 350. . Indem sich der Beschwerdeführer während 60 Tagen rechtswidrig in der Schweiz aufgehalten hat, ohne über ein entsprechendes Visum zu verfügen, hat er Art. 115 Abs. 1 Bst. b AIG verletzt, was als Verstoss gegen die öffentliche Sicherheit und Ordnung zu werten ist (Art. 77a Abs. 1 Bst. a VZAE). Der Beschwerdeführer hat damit einen Fernhaltegrund im Sinne von Art. 67 Abs. 2 Bst. a AIG gesetzt.</w:t>
      </w:r>
    </w:p>
    <w:p>
      <w:r>
        <w:rPr>
          <w:b/>
        </w:rPr>
        <w:t>E. 6.1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Der Beschwerdeführer hat - wie dargelegt - wegen rechtswidrigen Aufenthalts gegen die öffentliche Sicherheit und Ordnung im Sinne von Art. 67 Abs. 2 Bst. a AIG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F-4229/2017 vom 7. Dezember 2018 E. 5.2 m.H.). Es besteht somit ein gewichtiges öffentliches Interesse an der Fernhaltung des Beschwerdeführers. An diesem Ergebnis vermag auch ein tadelloser mazedonischer Strafregisterauszug nichts zu ändern (vgl. Beschwerdebeilage 6). Des Weiteren gilt es darauf hinzuweisen, dass Unkenntnis oder Fehlinterpretation der Einreise- oder Aufenthaltsvorschriften normalerweise keinen hinreichenden Grund für ein Absehen von einer Fernhaltemassnahme darstellen, obliegt es doch jedem Ausländer und jeder Ausländerin, sich über die bestehenden Rechte und Pflichten im Zusammenhang mit ausländerrechtlichen Vorschriften ins Bild zu setzen und sich im Falle von Unklarheiten bei der zuständigen Behörde zu erkundigen (vgl. statt vieler Urteil des BVGer F-1473/2016 vom 15. Mai 2017 E. 3.3 m.H.). Der Beschwerdeführer kann daher weder aus dem Grundsatz "Gnade vor Recht" noch aus den Bestimmungen des Obligationenrechts zum Irrtum (Art. 23 ff. OR) etwas zu seinen Gunsten ableiten.</w:t>
      </w:r>
    </w:p>
    <w:p>
      <w:r>
        <w:rPr>
          <w:b/>
        </w:rPr>
        <w:t>E. 6.3</w:t>
      </w:r>
    </w:p>
    <w:p>
      <w:r>
        <w:t>Den öffentlichen Interessen sind die privaten Interessen des Beschwerdeführers gegenüberzustellen. Diesbezüglich beruft er sich implizit auf das in Art. 8 EMRK und Art. 13 Abs. 1 BV verankerte Recht auf Achtung des Familienlebens.</w:t>
      </w:r>
    </w:p>
    <w:p>
      <w:r>
        <w:rPr>
          <w:b/>
        </w:rPr>
        <w:t>E. 6.3.1</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seiner hierzulande lebenden Ehefrau grundsätzlich bereits an einem fehlenden Anwesenheitsrecht scheitern. Eine allfällige Bewilligung im Rahmen des Familiennachzugs ist nicht Gegenstand des vorliegenden Verfahrens. Hierfür ist der Kanton zuständig, wobei das Einreiseverbot im Falle einer Bewilligungserteilung aufzuheben wäre (vgl. BVGE 2013/4 E. 7.4.1). Über das Gesuch vom 18. August 2017 um allfälligen Verbleib des Beschwerdeführers bei seiner Ehefrau wurde bis anhin noch nicht entschieden (vgl. Sachverhalt, Bst. I). Weshalb der Beschwerdeführer das kantonale Verfahren nicht stärker vorangetrieben hat beziehungsweise über sein Gesuch noch nicht entschieden wurde, geht aus den (beigezogenen) Akten nicht hervor.</w:t>
      </w:r>
    </w:p>
    <w:p>
      <w:r>
        <w:rPr>
          <w:b/>
        </w:rPr>
        <w:t>E. 6.3.2</w:t>
      </w:r>
    </w:p>
    <w:p>
      <w:r>
        <w:t>Das über den Beschwerdeführer verhängte Einreiseverbot hat, über das fehlende Aufenthaltsrecht hinaus, zur Folge, dass dieser seine hier lebende Ehefrau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bestehende familiäre Bindung kann von daher nur in der Weise berücksichtigt werden, dass es dem Beschwerdeführer unter bestimmten Voraussetzungen offensteht, eine Suspension des Einreiseverbots zu beantragen (vgl. Art. 67 Abs. 5 AIG) und dieses für eine angemessene Dauer - die gleichzeitig öffentlichen und privaten Interessen Rechnung trägt - angeordnet wird. Gegenseitigen Treffen ausserhalb des Schengen-Raums und namentlich im Heimatland, aus dem auch die Ehefrau des Beschwerdeführers stammt, stehen keine Hindernisse entgegen. Darüber hinaus ist es den Eheleuten zuzumuten, den Kontakt mittels Telefon oder via moderne Kommunikationsmittel (SMS, E-Mail, WhatsApp, Skype, Facebook usw.) zu pflegen. Durch diese Möglichkeiten kann ein gewisses Mass an Familienleben gewährleistet werden.</w:t>
      </w:r>
    </w:p>
    <w:p>
      <w:r>
        <w:rPr>
          <w:b/>
        </w:rPr>
        <w:t>E. 6.4</w:t>
      </w:r>
    </w:p>
    <w:p>
      <w:r>
        <w:t>Eine wertende Abwägung der sich gegenüberstehenden öffentlichen und privaten Interessen führt insgesamt zum Schluss, dass das vorliegende Einreiseverbot sowohl im Grundsatz als auch hinsichtlich der Dauer eine verhältnismässige und angemessene Massnahme zum Schutz der öffentlichen Sicherheit und Ordnung darstellt. Die damit einhergehende Erschwernis des Familienlebens wird durch das öffentliche Fernhalteinteresse gedeckt und ist daher nach Massgabe von Art. 8 Ziff. 2 EMRK und Art. 36 BV gerechtfertigt. Eine Verletzung des Rechts auf Familienleben gemäss Art. 8 Ziff. 1 EMRK und Art. 13 Abs. 1 BV kann in der Massnahme nicht erkannt werden. Das verhängte Einreiseverbot entspricht denn auch der Praxis des Bundesverwaltungsgerichts in vergleichbaren Fällen (vgl. etwa Urteile F-2341/2018 vom 15. Oktober 2018; F-5433/2017 vom 30. Januar 2019).</w:t>
      </w:r>
    </w:p>
    <w:p>
      <w:r>
        <w:rPr>
          <w:b/>
        </w:rPr>
        <w:t>E. 7</w:t>
      </w:r>
    </w:p>
    <w:p>
      <w:r>
        <w:t>Der über das Einreiseverbot hinausgehende Ausschluss der Bewegungsfreiheit im Schengen-Raum, der auf die Ausschreibung des Beschwerdeführers im SIS II zurückzuführen ist (vgl. dazu E. 3.4), ist ebenso wenig zu beanstanden (vgl. Art. 21 i.V.m. Art. 24 SIS-II-VO), geht es doch vorliegend um eine zentrale Bestimmung der migrationsrechtlichen Ordnung, gegen welche der Beschwerdeführer verstossen hat (Art. 115 Abs. 1 Bst. b AIG). Die Ausschreibung im SIS II wird von ihm auch nicht gerügt.</w:t>
      </w:r>
    </w:p>
    <w:p>
      <w:r>
        <w:rPr>
          <w:b/>
        </w:rPr>
        <w:t>E. 8</w:t>
      </w:r>
    </w:p>
    <w:p>
      <w:r>
        <w:t>Zusammenfassend ergibt sich, dass die angefochtene Verfügung im Lichte von Art. 49 VwVG nicht zu beanstanden ist. Die Beschwerde ist demnach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Der am 10. Juli 2017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