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F-3156/2023 vom 8. Juni 2023</w:t>
      </w:r>
    </w:p>
    <w:p>
      <w:r>
        <w:t>Bundesverwaltungsgericht, 2023-06-08, DE</w:t>
      </w:r>
    </w:p>
    <w:p>
      <w:r>
        <w:rPr>
          <w:b/>
        </w:rPr>
        <w:t xml:space="preserve">Quelle: </w:t>
      </w:r>
      <w:r>
        <w:t>https://mcp.opencaselaw.ch/entscheid/bvger_F-3156_2023</w:t>
      </w:r>
    </w:p>
    <w:p>
      <w:r>
        <w:t>FR: TAF F-3156/2023 du 8 juin 2023</w:t>
      </w:r>
    </w:p>
    <w:p>
      <w:r>
        <w:t>IT: TAF F-3156/2023 del 8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 unter Vorbehalt von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2017 VI/5 E. 3.1; 2012/4 E. 2.2, je m.w.H.). Folglich ist auf die Anträge auf Zuerkennung der Flüchtlingseigenschaft, Gewährung von Asyl sowie der vorläufigen Aufnahme nicht einzutreten.</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Der Beschwerdeführer rügt sinngemäss eine Verletzung des rechtlichen Gehörs (Art. 29 Abs. 2 BV), indem das Dublin-Gespräch in Abwesenheit seiner Rechtsvertretung durchgeführt worden sei.</w:t>
      </w:r>
    </w:p>
    <w:p>
      <w:r>
        <w:rPr>
          <w:b/>
        </w:rPr>
        <w:t>E. 4.2</w:t>
      </w:r>
    </w:p>
    <w:p>
      <w:r>
        <w:t>Gemäss Art. 102j Abs. 2 AsylG entfalten die Handlungen der Vorinstanz bei rechtzeitiger Mitteilung der Termine auch ohne die Anwesenheit oder Mitwirkung der Rechtsvertretung grundsätzlich ihre Rechtswirkung. Vorliegend teilte die Vorinstanz der Rechtsvertretung den Termin für das Dublin-Gespräch vom 28. März 2023 am 23. März 2023 - und damit rechtzeitig - mit. Die Rechtsvertretung verzichtete aus Kapazitätsgründen auf eine Teilnahme. Des Weiteren erklärte sich der Beschwerdeführer anlässlich des Dublin-Gesprächs explizit damit einverstanden, dieses ohne seine Rechtsvertretung durchzuführen. Nach dem Gesagten liegt keine Verletzung des rechtlichen Gehörs (vgl. Urteil des BVGer E-5608/2022 vom 31. Mai 2023 E. 5.4 ff., m.w.H.) vor, womit sich die entsprechende Rüge als unbegründet erweist.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(BVGE 2017 VI/5 E. 6.2 und 8.2.1).</w:t>
      </w:r>
    </w:p>
    <w:p>
      <w:r>
        <w:rPr>
          <w:b/>
        </w:rPr>
        <w:t>E. 5.3</w:t>
      </w:r>
    </w:p>
    <w:p>
      <w:r>
        <w:t>Nachdem die deutschen Behörden der Wiederaufnahme des Beschwerdeführers gestützt auf Art. 18 Abs. 1 Bst. d Dublin-III-VO zugestimmt haben, ist die grundsätzliche Zuständigkeit Deutschlands für die Durchführung des Asyl- und Wegweisungsverfahrens unstrittig gegeben.</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die Vorinstanz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7</w:t>
      </w:r>
    </w:p>
    <w:p>
      <w:r>
        <w:t>Nach der Rechtsprechung des Bundesverwaltungsgerichts weist das Asylverfahren in Deutschland keine systemischen Schwachstellen gemäss Art. 3 Abs. 2 Dublin-III-VO auf (vgl. anstelle vieler: Urteil des BVGer E-2273/2023 vom 2. Mai 2023 E. 7.1). Dies stellt der Beschwerdeführer denn auch nicht in Frage, weshalb sich Weiterungen dazu erübrigen.</w:t>
      </w:r>
    </w:p>
    <w:p>
      <w:r>
        <w:rPr>
          <w:b/>
        </w:rPr>
        <w:t>E. 8.1</w:t>
      </w:r>
    </w:p>
    <w:p>
      <w:r>
        <w:t>Schliesslich ist die Ausübung des Selbsteintrittsrechts nach Art. 17 Abs. 1 erster Satz Dublin-III-VO in Verbindung mit Art. 29a Abs. 3 AsylV 1 zu prüfen.</w:t>
      </w:r>
    </w:p>
    <w:p>
      <w:r>
        <w:rPr>
          <w:b/>
        </w:rPr>
        <w:t>E. 8.2</w:t>
      </w:r>
    </w:p>
    <w:p>
      <w:r>
        <w:t>Der Beschwerdeführer macht im Wesentlichen geltend, er habe bereits anlässlich des Dublin-Gesprächs darauf hingewiesen, dass sein psychischer Zustand sehr schlecht sei. Ferner habe er in Deutschland weder ein Recht auf eine Ausbildung noch auf Ausübung einer Erwerbstätigkeit.</w:t>
      </w:r>
    </w:p>
    <w:p>
      <w:r>
        <w:rPr>
          <w:b/>
        </w:rPr>
        <w:t>E. 8.3</w:t>
      </w:r>
    </w:p>
    <w:p>
      <w:r>
        <w:t>Deutschland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 Januar 1967 (SR 0.142.301) und hat die diesbezüglichen völkerrechtlichen Verpflichtungen zu beachten. Es darf davon ausgegangen werden, Deutschland anerkenne und schütze die Rechte, die sich für Schutzsuchende aus den international eingegangenen Verpflichtungen ergeben, insbesondere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w:t>
      </w:r>
    </w:p>
    <w:p>
      <w:r>
        <w:rPr>
          <w:b/>
        </w:rPr>
        <w:t>E. 8.4</w:t>
      </w:r>
    </w:p>
    <w:p>
      <w:r>
        <w:t>Der Beschwerdeführer hat kein konkretes und ernsthaftes Risiko dargetan, die deutschen Behörden würden in seinem Fall ihren völkerrechtlichen Verpflichtungen nicht nachkommen. Er kann seine ihm gemäss Aufnahmerichtlinie zustehenden Rechte nötigenfalls gerichtlich einfordern (Art. 26 Aufnahmerichtlinie), sollte er nach seiner Rückkehr in Deutschland als abgewiesener Asylsuchender nicht grundrechtskonform, das heisst insbesondere unter Gewährleistung einer menschenwürdigen Notversorgung untergebracht werden.</w:t>
      </w:r>
    </w:p>
    <w:p>
      <w:r>
        <w:rPr>
          <w:b/>
        </w:rPr>
        <w:t>E. 8.5</w:t>
      </w:r>
    </w:p>
    <w:p>
      <w:r>
        <w:t>In Bezug auf den Gesundheitszustand ist aktenkundig, dass sich der Beschwerdeführer wegen Husten, Gewichtsverlust, Nachtschweiss und Juckreiz beim medizinischen Personal gemeldet hat. Röntgen- und Laboruntersuchungen führten allerdings zu keinen auffälligen Ergebnissen. Soweit der Beschwerdeführer vorbringt, er habe bereits anlässlich des Dublin-Gesprächs auf seinen schlechten psychischen Zustand hingewiesen, ist festzuhalten, dass er gegenüber dem medizinischen Personal in Verletzung seiner Mitwirkungspflicht (Art. 8 AsylG) keine psychischen Probleme erwähnt hat. Auf Beschwerdeebene blieben diese denn auch gänzlich unbelegt. Bezüglich der im vorinstanzlichen Verfahren dokumentierten gesundheitlichen Beschwerden bleibt anzumerken, dass Deutschland zweifellos über eine ausreichende medizinische Infrastruktur für deren Behandlung verfügt (vgl. statt vieler: Urteil des BVGer D-2903/2023 vom 25. Mai 2023) und verpflichtet ist, den Antragstellenden die erforderliche medizinische Versorgung zugänglich zu machen (Art. 19 Abs. 1 Aufnahmerichtlinie).</w:t>
      </w:r>
    </w:p>
    <w:p>
      <w:r>
        <w:rPr>
          <w:b/>
        </w:rPr>
        <w:t>E. 8.6</w:t>
      </w:r>
    </w:p>
    <w:p>
      <w:r>
        <w:t>Demnach hat die Vorinstanz das Selbsteintrittsrecht zutreffend nicht ausgeübt, zumal die Schweiz weder völkerrechtlich verpflichtet ist, auf das Asylgesuch einzutreten, noch Rechtsfehler bei der Ermessenbetätigung dargetan oder ersichtlich sind.</w:t>
      </w:r>
    </w:p>
    <w:p>
      <w:r>
        <w:rPr>
          <w:b/>
        </w:rPr>
        <w:t>E. 9</w:t>
      </w:r>
    </w:p>
    <w:p>
      <w:r>
        <w:t>Nach dem Gesagten ist die Vorinstanz zu Recht auf das Asylgesuch des Beschwerdeführers nicht eingetreten und hat seine Wegweisung nach Deutschland angeordnet, weshalb die Beschwerde - soweit darauf eingetreten wird (siehe E. 2.2 hiervor) - abzuweisen ist. Mit vorliegendem Urteil fällt der angeordnete Vollzugsstopp dahin. Die Gesuche um Gewährung der aufschiebenden Wirkung der Beschwerde und um Verzicht auf die Erhebung eines Kostenvorschusses sind gegenstandslos geworden.</w:t>
      </w:r>
    </w:p>
    <w:p>
      <w:r>
        <w:rPr>
          <w:b/>
        </w:rPr>
        <w:t>E. 10</w:t>
      </w:r>
    </w:p>
    <w:p>
      <w:r>
        <w:t>Ferner sind die Gesuche um Gewährung der unentgeltlichen Prozessführung und amtlichen Rechtsverbeiständung abzuweisen, da die Begehren - wie sich aus den vorstehenden Erwägungen ergibt - als aussichtslos zu bezeichnen sind. Die Verfahrenskosten sind entsprechend dem unterliegenden Beschwerdeführer aufzuerlegen (Art. 63 Abs. 1 VwVG) und auf insgesamt Fr. 750.- festzusetzen (Art. 1 ff. des Reglements vom 21. Februar 2008 über die Kosten und Entschädigungen vor dem Bundesverwaltungsgericht [VGKE, SR 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