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F-3132/2019 vom 14. Januar 2020</w:t>
      </w:r>
    </w:p>
    <w:p>
      <w:r>
        <w:t>Bundesverwaltungsgericht, 2020-01-14, DE</w:t>
      </w:r>
    </w:p>
    <w:p>
      <w:r>
        <w:rPr>
          <w:b/>
        </w:rPr>
        <w:t xml:space="preserve">Quelle: </w:t>
      </w:r>
      <w:r>
        <w:t>https://mcp.opencaselaw.ch/entscheid/bvger_F-3132_2019</w:t>
      </w:r>
    </w:p>
    <w:p>
      <w:r>
        <w:t>FR: TAF F-3132/2019 du 14 janvier 2020</w:t>
      </w:r>
    </w:p>
    <w:p>
      <w:r>
        <w:t>IT: TAF F-3132/2019 del 14 gennaio 2020</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des SEM, die ein Einreiseverbot gemäss Art. 67 des Ausländer- und Integrationsgesetzes (AIG, SR 142.20) zum Gegenstand haben (Art. 33 Bst. d VGG; Art. 32 VGG; Art. 112 Abs. 1 AIG). Entscheide des Bundesverwaltungsgerichts betreffend die Einreise sind endgültig (Art. 83 Bst. c Ziff. 1 BGG).</w:t>
      </w:r>
    </w:p>
    <w:p>
      <w:r>
        <w:rPr>
          <w:b/>
        </w:rPr>
        <w:t>E. 1.2</w:t>
      </w:r>
    </w:p>
    <w:p>
      <w:r>
        <w:t>Das Rechtsmittelverfahren vor dem Bundesverwaltungsgericht richtet sich nach dem VwVG, soweit das VGG nichts anderes bestimmt (Art. 37 VGG i.V.m. Art. 112 Abs. 1 AIG).</w:t>
      </w:r>
    </w:p>
    <w:p>
      <w:r>
        <w:rPr>
          <w:b/>
        </w:rPr>
        <w:t>E. 1.3</w:t>
      </w:r>
    </w:p>
    <w:p>
      <w:r>
        <w:t>Der Beschwerdeführer ist als Verfügungsadressat zur Erhebung der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an die Begründung der Begehren nicht gebunden (Art. 62 Abs. 4 VwVG). Massgebend ist grundsätzlich die Sachlage zum Zeitpunkt des Entscheids (BVGE 2014/1 E. 2; 2011/43 E. 6.1).</w:t>
      </w:r>
    </w:p>
    <w:p>
      <w:r>
        <w:rPr>
          <w:b/>
        </w:rPr>
        <w:t>E. 3.1</w:t>
      </w:r>
    </w:p>
    <w:p>
      <w:r>
        <w:t>Gestützt auf Art. 67 Abs. 2 Bst. a AIG kann das SEM gegenüber ausländischen Personen, die gegen die öffentliche Sicherheit und Ordnung in der Schweiz oder im Ausland verstossen haben oder diese gefährden, ein Einreiseverbot verhängen. Ein Verstoss gegen die öffentliche Sicherheit und Ordnung im Sinne von Art. 67 Abs. 2 Bst. a AIG liegt unter anderem vor, wenn gesetzliche Vorschriften oder behördliche Verfügungen missachtet werden (Art. 77a Abs. 1 Bst. a der Verordnung vom 24. Oktober 2007 über Zulassung, Aufenthalt und Erwerbstätigkeit [VZAE, SR 142.201]). Unter diese Begriffsbestimmung fallen auch Widerhandlungen gegen Normen des Ausländerrechts. Dabei genügt es, wenn der ausländischen Person eine Sorgfaltsverletzung zugerechnet werden kann. Unkenntnis oder Fehlinterpretation der entsprechenden Bestimmungen stellen normalerweise keinen hinreichenden Grund für ein Absehen von einer Fernhaltemassnahme dar. Jedem Ausländer und jeder Ausländerin obliegt es, sich über bestehende Rechte und Pflichten im Zusammenhang mit den ausländerrechtlichen Vorschriften ins Bild zu setzen und sich im Falle von Unklarheiten bei der zuständigen Stelle zu informieren (vgl. statt vieler Urteil des BVGer F-296/2017 vom 8. Juli 2019 E. 4.3 m.H.).</w:t>
      </w:r>
    </w:p>
    <w:p>
      <w:r>
        <w:rPr>
          <w:b/>
        </w:rPr>
        <w:t>E. 3.2</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 Der Beschwerdeführer ist jedoch im Besitz einer Aufenthaltserlaubnis für Italien, weshalb das Einreiseverbot auf das Gebiet der Schweiz und des Fürstentums Liechtensteins begrenzt ist.</w:t>
      </w:r>
    </w:p>
    <w:p>
      <w:r>
        <w:rPr>
          <w:b/>
        </w:rPr>
        <w:t>E. 4.1</w:t>
      </w:r>
    </w:p>
    <w:p>
      <w:r>
        <w:t>Die Vorinstanz begründet das gegenüber dem Beschwerdeführer verhängte Einreiseverbot mit dessen illegaler Erwerbstätigkeit (SEM-act. 10/352 f.).</w:t>
      </w:r>
    </w:p>
    <w:p>
      <w:r>
        <w:rPr>
          <w:b/>
        </w:rPr>
        <w:t>E. 4.2</w:t>
      </w:r>
    </w:p>
    <w:p>
      <w:r>
        <w:t>Der Beschwerdeführer bestreitet, einer illegalen Erwerbstätigkeit nachgegangen zu sein. Er sei in Polizeigewahrsam genommen worden, als er angeblich versucht habe, mitgeführte Holzfiguren durch Haustürgeschäfte an Privatpersonen zu verkaufen. Gestützt auf diese Grundlage sei das SEM bereits von der Ausübung einer unbewilligten Erwerbstätigkeit und einem Verstoss gegen die öffentliche Sicherheit und Ordnung ausgegangen. Dass diese Art von im Aussterben befindlichen Haustürgeschäften, wie sie dem Beschwerdeführer zum Vorwurf gemacht werden, einen tatsächlichen Einfluss auf den Schweizer Arbeitsmarkt haben könnten, sei nicht einzusehen. Ferner sei der von ihm getätigte Verkauf keinesfalls dazu geeignet, ein Erwerbseinkommen zu erzielen. Vielmehr sei ein solches Verhalten als eine Form der Bettelei zu qualifizieren, welcher mit Blick auf die Weisungen des SEM betreffend Aufenthalt und Erwerbstätigkeit [www.sem-admin.ch Publikationen und Service Weisungen und Kreisschreiben I. Ausländerbereich Aufenthalt und Erwerbstätigkeit, Stand 1. Juni 2019, besucht im Dezember 2019, nachfolgend: Weisung des SEM] explizit vom Begriff der Erwerbstätigkeit im Sinne des AIG ausgenommen seien. Folglich habe er - der Beschwerdeführer - mit dem ihm vorgeworfenen Verhalten nicht gegen das AIG verstossen (BVGer-act. 1).</w:t>
      </w:r>
    </w:p>
    <w:p>
      <w:r>
        <w:rPr>
          <w:b/>
        </w:rPr>
        <w:t>E. 4.3</w:t>
      </w:r>
    </w:p>
    <w:p>
      <w:r>
        <w:t>Der ausländerrechtliche Begriff der Erwerbstätigkeit ist weit gefasst. Dies unter anderem, um die Möglichkeiten der Umgehung der Zulassungsvoraussetzungen gemäss Art. 18-26 AIG zu verringern (vgl. Marc Spescha, in: Spescha et al. [Hrsg.], Kommentar Migrationsrecht, 5. Aufl. 2019, N. 2 zu Art. 11 Abs. 2 AIG). Als Erwerbstätigkeit gilt somit jede üblicherweise gegen Entgelt ausgeübte unselbständige oder selbständige Tätigkeit (Art. 11 Abs. 2 AIG). Eine Tätigkeit gilt dann als üblicherweise auf Entgelt gerichtet, wenn sie ihrer Art und ihrem Umfang nach auf dem schweizerischen Arbeits- und Dienstleistungsmarkt angeboten wird. Ohne Belang für die Qualifikation als (unselbständige) Erwerbstätigkeit ist, ob die Beschäftigung nur stunden- oder tageweise oder vorübergehend ausgeübt wird (Art. 1a Abs. 1 VZAE) (vgl. statt vieler: Urteil des BVGer F-1827/2018 vom 30. September 2019 E. 6.3.4).</w:t>
      </w:r>
    </w:p>
    <w:p>
      <w:r>
        <w:rPr>
          <w:b/>
        </w:rPr>
        <w:t>E. 4.4</w:t>
      </w:r>
    </w:p>
    <w:p>
      <w:r>
        <w:t>Gemäss dem Polizeirapport der Regionalpolizei (...) vom 21. Mai 2019 ging dort gleichentags eine Meldung ein, wonach der Beschwerdeführer in (...) versucht habe, einer Frau eine Holzfigur zu verkaufen. Er sei mit dem Fahrrad zu ihrer Liegenschaft gekommen und habe die Holzfiguren in einen grossen Rucksack mit sich geführt. Beim Eintreffen der Polizei hätten zwei Holzpuzzle ausgebreitet auf einem Container gelegen. Die Sachverhaltsabklärung habe ergeben, dass der Beschwerdeführer mit dem Rad die umliegenden Liegenschaften angefahren habe, um Holzschnitzereien zu verkaufen (AG-pag. 737). Aus den kantonalen Akten geht zudem hervor, dass der Beschwerdeführer mit einem Auto nach (...) gelangt ist und im Auto weitere für den Verkauf bestimmte Holzfiguren deponiert waren. Dass sich das Auto in (...) befunden hat und dort weitere Holzfiguren deponiert waren, wird vom Beschwerdeführer nicht bestritten (SEM-act. 9/341).</w:t>
      </w:r>
    </w:p>
    <w:p>
      <w:r>
        <w:rPr>
          <w:b/>
        </w:rPr>
        <w:t>E. 4.5</w:t>
      </w:r>
    </w:p>
    <w:p>
      <w:r>
        <w:t>Der Beschwerdeführer hat nach dem Gesagten im Rahmen von Haustürgeschäften versucht, Holzfiguren zu verkaufen, und infolgedessen eine Tätigkeit verrichtet, die üblicherweise gegen Entgelt ausgeübt wird. Seine anlässlich der polizeilichen Einvernahme vom 21. Mai 2019 getätigten Aussagen, wonach er die Frau lediglich nach einem Brockenhaus gefragt habe und er die Figuren einem Brockenhaus zum Verkauf habe anbieten wollen (AG-pag. 729-731, 733), dürften als Schutzbehauptungen zu werten sein. Im Übrigen würde auch der Verkauf an eine Brockenstube den Tatbestand der nicht bewilligten Erwerbstätigkeit erfüllen.</w:t>
      </w:r>
    </w:p>
    <w:p>
      <w:r>
        <w:rPr>
          <w:b/>
        </w:rPr>
        <w:t>E. 4.6</w:t>
      </w:r>
    </w:p>
    <w:p>
      <w:r>
        <w:t>Auch die auf Beschwerdeebene erhobene Einwände (es sei nicht einzusehen, dass die dem Beschwerdeführer vorgeworfene Tätigkeit einen tatsächlichen Einfluss auf den Arbeitsmarkt haben könnte bzw. seine Tätigkeit stelle keine Erwerbstätigkeit dar, sondern falle unter Bettelei; vgl. zum Ganzen vorne E. 4.2), spielen in diesem Zusammenhang keine Rolle (vgl. zur weiten Fassung des ausländerrechtlichen Erwerbsbegriffs E. 4.3 hiervor). Auch wenn der Beschwerdeführer mit dem Verkauf von Holzfiguren kein breites Konsumbedürfnis erfüllt, sondern vielmehr eine Nischentätigkeit ausgeübt hat, ist er damit einer bewilligungspflichtigen Erwerbstätigkeit i.S.v. Art. 11 Abs. 2 AIG nachgegangen. Dass er um die Bewilligungspflicht nicht gewusst haben will, vermag ihn ebenfalls nicht zu entlasten, zumal es für die Verhängung eines Einreiseverbots keines vorsätzlichen Verstosses gegen ausländerrechtliche Bestimmungen bedarf (vgl. vorstehend E. 3.1). Auch der zutreffende Hinweis auf die Weisung des SEM, wonach Bettelei nicht als Erwerbstätigkeit zu qualifizieren ist, vermag zu keiner anderen Einschätzung zu führen. So wurde der Beschwerdeführer bereits mit Einstellungsverfügung des Untersuchungsamtes Uznach vom 20. Dezember 2018 (SEM-act. 8/334 ff.) darauf hingewiesen, dass er im Wiederholungsfall nicht mit einer erneuten Straffreiheit rechnen könne, indem bei weiteren Verkäufen die Grenze zur Erwerbstätigkeit möglicherweise überschritten und dadurch ein ausländerrechtlicher Straftatbestand erfüllt sein könnte (SEM-act. 8/335). Dass dem Beschwerdeführer von der Staatsanwaltschaft (...) bislang die von ihm beantragte Akteneinsicht nicht gewährt worden sein soll, ist vorliegend unerheblich. Mängel der behaupteten Art wären nach deren Feststellung im Strafverfahren geltend zu machen gewesen.</w:t>
      </w:r>
    </w:p>
    <w:p>
      <w:r>
        <w:rPr>
          <w:b/>
        </w:rPr>
        <w:t>E. 4.7</w:t>
      </w:r>
    </w:p>
    <w:p>
      <w:r>
        <w:t>Vor dem aufgezeigten Hintergrund ist erstellt, dass der Beschwerdeführer am 21. Mai 2019 einer Erwerbstätigkeit im Sinne des Gesetzes nachgegangen ist, ohne im Besitz der dafür erforderlichen Bewilligung zu sein (Art. 11 Abs. 2 AIG). Durch die Missachtung dieser Vorschrift hat er gegen die öffentliche Sicherheit und Ordnung verstossen und damit einen hinreichenden Grund für die Verhängung eines Einreiseverbots gesetzt (vgl. E. 3.1 hiervor).</w:t>
      </w:r>
    </w:p>
    <w:p>
      <w:r>
        <w:rPr>
          <w:b/>
        </w:rPr>
        <w:t>E. 5.1</w:t>
      </w:r>
    </w:p>
    <w:p>
      <w:r>
        <w:t>Es bleibt zu prüfen, ob die auf ein Jahr befristete und damit unterhalb der Regelhöchstdauer von Art. 67 Abs. 3 Satz 1 liegende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(Art. 96 AIG; ferner statt vieler Häfelin/Müller/Uhlmann, Allgemeines Verwaltungsrecht, 7. Aufl. 2016, Rz. 514 ff. m.w.H.).</w:t>
      </w:r>
    </w:p>
    <w:p>
      <w:r>
        <w:rPr>
          <w:b/>
        </w:rPr>
        <w:t>E. 5.2</w:t>
      </w:r>
    </w:p>
    <w:p>
      <w:r>
        <w:t>Aufgrund der illegalen Erwerbstätigkeit des Beschwerdeführers ist eine Gefährdung der öffentlichen Ordnung und Sicherheit gemäss Art. 67 Abs. 2 Bst. a AIG zu bejahen. Es besteht demnach ein general- und spezialpräventiv motiviertes Interesse an der Fernhaltung des Beschwerdeführers (zur spezial- und generalpräventiven Zielsetzung von Fernhaltemassnahmen: vgl. BVGE 2014/20 E. 8.2). Davon abgesehen ist zu berücksichtigen, dass ihm gegenüber in der Vergangenheit bereits wiederholt Fernhaltemassnahmen angeordnet wurden, da er gegen ausländerrechtliche Vorschriften verstossen hat bzw. wiederholt in der Schweiz straffällig geworden ist (vgl. Sachverhalt Bst. B sowie zum Ganzen: SEM-act. 1). Vor diesem Hintergrund vermittelt der Beschwerdeführer eine latente Geringschätzung fundamentaler ausländerrechtlicher Bestimmungen.</w:t>
      </w:r>
    </w:p>
    <w:p>
      <w:r>
        <w:rPr>
          <w:b/>
        </w:rPr>
        <w:t>E. 5.3</w:t>
      </w:r>
    </w:p>
    <w:p>
      <w:r>
        <w:t>Den öffentlichen Interessen sind die privaten Interessen des Beschwerdeführers gegenüber zu stellen. Hierzu macht er geltend, seine Kinder seien in der Schweiz aufenthaltsberechtigt und er unterhalte einen regelmässigen und innigen Kontakt zu ihnen. Gestützt auf seine Aufenthaltsberechtigung für Italien habe er in der Vergangenheit regelmässige mehrwöchige Besuche bei seiner in der Schweiz lebenden Familie getätigt. Auch wenn vorliegend die Dauer des Einreiseverbotes auf ein Jahr beschränkt sei, hätten er und seine Familie ein privates Interesse an dessen Aufhebung. Die Ehe des Beschwerdeführers besteht nicht mehr und seine Kinder sind bereits volljährig (vgl. Sachverhalt Bst. A). Diesen Beziehungen kann somit kein derartiges Gewicht beigemessen werden, als dass sie das öffentliche Interesse an einer Fernhaltung aufzuwiegen vermöchten (zum Familienbegriff gemäss Art. 8 EMARK vgl. BGE 135 I 143 E. 3.1). Hinzu kommt, dass das SEM aufgrund seines Aufenthaltstitels für Italien auf die Ausschreibung des Beschwerdeführers im Schengener Informationssystem SIS II verzichtet hat. Ihm ist es folglich nicht verwehrt, sich im Schengenraum - mit Ausnahme der Schweiz und des Fürstentums Liechtenstein - aufzuhalten. Überdies sind dem Beschwerdeführer während der Geltungsdauer der Fernhaltemassnahme Besuchsaufenthalte bei ihm nahestehenden Personen in der Schweiz nicht schlichtweg untersagt: Das SEM kann die Fernhaltemassnahme auf begründetes Gesuch hin aus humanitären oder anderen wichtigen Gründen befristet suspendieren (vgl. Art. 67 Abs. 5 AIG; BVGE 2013/4 E. 7.4.3 m.H.). Zudem können Kontakte noch auf andere Weise gepflegt werden, sei es durch moderne Kommunikationsmittel oder durch Treffen im Aufenthaltsstaat des Beschwerdeführers.</w:t>
      </w:r>
    </w:p>
    <w:p>
      <w:r>
        <w:rPr>
          <w:b/>
        </w:rPr>
        <w:t>E. 5.4</w:t>
      </w:r>
    </w:p>
    <w:p>
      <w:r>
        <w:t>Eine wertende Gegenüberstellung der sich gegenüberstehenden Interessen führt das Bundesverwaltungsgericht zum Schluss, dass das auf ein Jahr befristete Einreiseverbot für das Gebiet der Schweiz und des Fürstentums Liechtensteins sowohl vom Grundsatz her als auch in Bezug auf seine Dauer eine verhältnismässige und angemessene Massnahme zum Schutz der öffentlichen Sicherheit und Ordnung darstellt. Die Beschwerde ist daher abzuweisen.</w:t>
      </w:r>
    </w:p>
    <w:p>
      <w:r>
        <w:rPr>
          <w:b/>
        </w:rPr>
        <w:t>E. 6</w:t>
      </w:r>
    </w:p>
    <w:p>
      <w:r>
        <w:t>Aus diesen Erwägungen ergibt sich, dass die angefochtene Verfügung im Lichte von Art. 49 VwVG nicht zu beanstanden ist. Die Beschwerde ist demzufolge abzuweisen.</w:t>
      </w:r>
    </w:p>
    <w:p>
      <w:r>
        <w:rPr>
          <w:b/>
        </w:rPr>
        <w:t>E. 7</w:t>
      </w:r>
    </w:p>
    <w:p>
      <w:r>
        <w:t>Entsprechend dem Ausgang des Verfahrens sind die Kosten in der Höhe von Fr. 900.- dem Beschwerdeführer aufzuerlegen (Art. 63 Abs. 1 VwVG i.V.m. Art. 1 ff. des Reglements vom 21. Februar 2008 über die Kosten und Entschädigungen vor dem Bundesverwaltungsgericht [VGKE, SR 173.320.2]). Sie sind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