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F-3127/2023 vom 5. Juni 2023</w:t>
      </w:r>
    </w:p>
    <w:p>
      <w:r>
        <w:t>Bundesverwaltungsgericht, 2023-06-05, DE</w:t>
      </w:r>
    </w:p>
    <w:p>
      <w:r>
        <w:rPr>
          <w:b/>
        </w:rPr>
        <w:t xml:space="preserve">Quelle: </w:t>
      </w:r>
      <w:r>
        <w:t>https://mcp.opencaselaw.ch/entscheid/bvger_F-3127_2023</w:t>
      </w:r>
    </w:p>
    <w:p>
      <w:r>
        <w:t>FR: TAF F-3127/2023 du 5 juin 2023</w:t>
      </w:r>
    </w:p>
    <w:p>
      <w:r>
        <w:t>IT: TAF F-3127/2023 del 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1.4</w:t>
      </w:r>
    </w:p>
    <w:p>
      <w:r>
        <w:t>Nachdem die angefochtene Verfügung der Vorinstanz in deutscher Sprache ergangen ist, wird das Beschwerdeverfahren gestützt auf Art. 33a Abs. 2 VwVG in letzterer Sprache geführt.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In verfahrensrechtlicher Hinsicht rügt der Beschwerdeführer eine unrichtige und unvollständige Feststellung des medizinischen Sachverhalts. Insbesondere sei sein komplexes Krankheitsbild nicht genügend untersucht worden und der Nichteintretensentscheid ergangen, bevor eine für den 13. Juni 2023 geplante dritte psychiatrische Konsultation stattfinden konnte. Damit wird eine Verletzung seines rechtlichen Gehörs geltend gemacht. Diese formelle Rüge ist vorab zu beurteilen, da sie gegebenenfalls geeignet ist, eine Kassation der vorinstanzlichen Verfügung zu bewirken (vgl. BGE 138 I 232 E. 5).</w:t>
      </w:r>
    </w:p>
    <w:p>
      <w:r>
        <w:rPr>
          <w:b/>
        </w:rPr>
        <w:t>E. 3.2</w:t>
      </w:r>
    </w:p>
    <w:p>
      <w:r>
        <w:t>Mit dem Gehörsanspruch korreliert die Pflicht der Behörden, die Vorbringen des vom Entscheid in seiner Rechtsstellung Betroffenen tatsächlich zu hören, sorgfältig sowie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m.w.H.).</w:t>
      </w:r>
    </w:p>
    <w:p>
      <w:r>
        <w:rPr>
          <w:b/>
        </w:rPr>
        <w:t>E. 3.3</w:t>
      </w:r>
    </w:p>
    <w:p>
      <w:r>
        <w:t>Den Akten sind psychiatrische Gutachten vom 26. April 2023 und vom 17. Mai 2023 zu entnehmen (vgl. A11/2; A26/2), welche eine ähnliche Diagnose erstellen. Es ist nicht ersichtlich, inwiefern ein drittes Gutachten einen wesentlichen Einfluss auf die Beurteilung der psychischen Verfassung des Beschwerdeführers haben könnte. Die Vorinstanz war somit nicht gezwungen, die Konsultation vom 13. Juni 2023 abzuwarten und hat dies in einer Aktennotiz in antizipierter Beweiswürdigung korrekt vermerkt (vgl. A21/1). Damit ist weder eine fehlerhafte Sachverhaltsfeststellung noch eine Verletzung des rechtlichen Gehörs ersichtlich. Es besteht keine Veranlassung, die angefochtene Verfügung aufzuheben und die Sache an die Vorinstanz zurückzuweisen. Das entsprechende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2019 VI/7 E. 63 ff.; 2017 VI/5 E. 6.2 und 8.2.1 m.w.H.).</w:t>
      </w:r>
    </w:p>
    <w:p>
      <w:r>
        <w:rPr>
          <w:b/>
        </w:rPr>
        <w:t>E. 4.3</w:t>
      </w:r>
    </w:p>
    <w:p>
      <w:r>
        <w:t>Der bereits erfolgte negative Asylentscheid der deutschen Behörden stellt kein Überstellungshindernis dar. Nach rechtskräftigem Abschluss des Asyl- und Wegweisungsverfahrens bleibt Deutschland gemäss Art. 18 Abs. 1 Bst. d Dublin-III-VO bis zu einem allfälligen Wegweisungsvollzug aus dem Dublin-Raum oder einer Regelung des Aufenthaltsstatus zuständig. Nachdem die deutschen Behörden der Wiederaufnahme des Beschwerdeführers innert der in Art. 25 Abs. 1 Dublin-III-VO vorgesehenen Frist zugestimmt haben, ist die grundsätzliche Zuständigkeit Deutschlands für die Durchführung des Asyl- und Wegweisungsverfahrens gegeben.</w:t>
      </w:r>
    </w:p>
    <w:p>
      <w:r>
        <w:rPr>
          <w:b/>
        </w:rPr>
        <w:t>E. 5</w:t>
      </w:r>
    </w:p>
    <w:p>
      <w:r>
        <w:t>Gemäss konstanter Rechtsprechung des Bundesverwaltungsgerichts weist das Asylverfahren in Deutschland keine systemischen Schwachstellen im Sinne von Art. 3 Abs. 2 Dublin-III-VO auf (vgl. anstelle vieler: Urteile des BVGer D-1767/2023 vom 6. April 2023 und D-1442/2023 vom 22. März 2023 E. 8.1). Es bestehen keine Hinweise darauf, dass das Asylverfahren des Beschwerdeführers in Deutschland nicht rechtsstaatlich korrekt durchgeführt worden wäre. Dies wird vom Beschwerdeführer auch nicht geltend gemacht. Darüber hinaus gibt es auch keine Gründe für die Annahme, Deutschland werde im Fall des Beschwerdeführers den Grundsatz des Non-Refoulement missachten und ihn zur Ausreise in ein Land zwingen, in dem sein Leib, sein Leben oder seine Freiheit aus einem Grund nach Art. 3 Abs. 1 AsylG gefährdet ist. Angesichts dieser Ausführungen ist die Anwendung von Art. 3 Abs. 2 Dublin-III-VO nicht gerechtfertigt. Bei dieser Sachlage besteht auch kein Anlass für die Einholung individueller Garantien.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6.2</w:t>
      </w:r>
    </w:p>
    <w:p>
      <w:r>
        <w:t>In diesem Zusammenhang wird in der Beschwerde auf die psychische Verfassung des Beschwerdeführers verwiesen. Seine Überstellung nach Deutschland würde eine Verletzung von Art. 3 EMRK darstellen.</w:t>
      </w:r>
    </w:p>
    <w:p>
      <w:r>
        <w:rPr>
          <w:b/>
        </w:rPr>
        <w:t>E. 6.2.1</w:t>
      </w:r>
    </w:p>
    <w:p>
      <w:r>
        <w:t>Der Bedarf des Beschwerdeführers auf eine psychiatrische Behandlung ist unbestritten. Gemäss den ärztlichen Gutachten leidet er an einer psychischen Störung resp. Depression einschliesslich auditiver Halluzinationen und passiver Suizidgedanken. Aktive Suizidgedanken wurden hingegen nicht erkannt (vgl. A11/2; A26/2).</w:t>
      </w:r>
    </w:p>
    <w:p>
      <w:r>
        <w:rPr>
          <w:b/>
        </w:rPr>
        <w:t>E. 6.2.2</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6.2.3</w:t>
      </w:r>
    </w:p>
    <w:p>
      <w:r>
        <w:t>An die gerade ausgeführte Rechtsprechung anknüpfend, kann ausgeschlossen werden, dass eine Überstellung des Beschwerdeführers nach Deutschland eine tatsächliche Gefahr (real risk) einer Verletzung von Art. 3 EMRK mit sich bringen würde. Im Übrigen ist darauf hinzuweisen, dass Deutschland über eine ausreichende medizinische Infrastruktur verfügt und der Zugang dazu gewährleistet ist (vgl. auch Art. 19 Abs. 1 und 2 Richtlinie des Europäischen Parlaments und des Rates 2013/33/EU vom 26. Juni 2013 zur Festlegung von Normen für die Aufnahme von Personen, die internationalen Schutz beantragen [sog. Aufnahmerichtlinie]).</w:t>
      </w:r>
    </w:p>
    <w:p>
      <w:r>
        <w:rPr>
          <w:b/>
        </w:rPr>
        <w:t>E. 6.3</w:t>
      </w:r>
    </w:p>
    <w:p>
      <w:r>
        <w:t>Die Vorinstanz hat somit das Selbsteintrittsrecht von Art. 17 Dublin-III-VO sowie Art. 29a Abs. 3 AsylV 1 zu Recht nicht ausgeübt. Weder ist die Schweiz völkerrechtlich verpflichtet, auf das Asylgesuch einzutreten, noch liegen humanitäre Gründe vor, die einen Selbsteintritt nahelegen würden.</w:t>
      </w:r>
    </w:p>
    <w:p>
      <w:r>
        <w:rPr>
          <w:b/>
        </w:rPr>
        <w:t>E. 7</w:t>
      </w:r>
    </w:p>
    <w:p>
      <w:r>
        <w:t>Bezüglich der Reisefähigkeit sowie der Durchführung der Überstellung (Art. 31 und Art. 32 Dublin-III-VO) kann auf die Ausführungen der Vor-instanz verwiesen werden, wonach der Gesundheitszustand der zu überstellenden Person jeweils kurz vor der Überstellung berücksichtigt wird. Dass der gesundheitliche Zustand des Beschwerdeführers nicht bereits im Wiederaufnahmeersuchen erwähnt wurde (vgl. A17/5), ist somit nicht weiter zu beanstanden. Die mit dem Vollzug der angefochtenen Verfügung beauftragten schweizerischen Behörden sind aber anzuweisen, die deutschen Behörden in geeigneter Weise und vorgängig über die spezifischen medizinischen Umstände zu informieren (vgl. Art. 31 f. Dublin-III-VO).</w:t>
      </w:r>
    </w:p>
    <w:p>
      <w:r>
        <w:rPr>
          <w:b/>
        </w:rPr>
        <w:t>E. 8</w:t>
      </w:r>
    </w:p>
    <w:p>
      <w:r>
        <w:t>Die Vorinstanz ist nach dem Gesagten zu Recht auf das Asylgesuch des Beschwerdeführers nicht eingetreten und hat die Wegweisung nach Deutschland angeordnet.</w:t>
      </w:r>
    </w:p>
    <w:p>
      <w:r>
        <w:rPr>
          <w:b/>
        </w:rPr>
        <w:t>E. 9</w:t>
      </w:r>
    </w:p>
    <w:p>
      <w:r>
        <w:t>Demnach ist die Beschwerde abzuweisen. Mit dem vorliegenden Urteil fällt der am 1. Juni 2023 angeordnete Vollzugsstopp dahin. Das Gesuch um Erteilung der aufschiebenden Wirkung ist gegenstandslos geworden.</w:t>
      </w:r>
    </w:p>
    <w:p>
      <w:r>
        <w:rPr>
          <w:b/>
        </w:rPr>
        <w:t>E. 10</w:t>
      </w:r>
    </w:p>
    <w:p>
      <w:r>
        <w:t>Die Begehren erweisen sich als aussichtslos, weshalb das Gesuch um unentgeltliche Prozessführung (Art. 65 Abs. 1 VwVG) abzuweisen ist.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