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F-3122/2023 vom 6. Juni 2023</w:t>
      </w:r>
    </w:p>
    <w:p>
      <w:r>
        <w:t>Bundesverwaltungsgericht, 2023-06-06, DE</w:t>
      </w:r>
    </w:p>
    <w:p>
      <w:r>
        <w:rPr>
          <w:b/>
        </w:rPr>
        <w:t xml:space="preserve">Quelle: </w:t>
      </w:r>
      <w:r>
        <w:t>https://mcp.opencaselaw.ch/entscheid/bvger_F-3122_2023</w:t>
      </w:r>
    </w:p>
    <w:p>
      <w:r>
        <w:t>FR: TAF F-3122/2023 du 6 juin 2023</w:t>
      </w:r>
    </w:p>
    <w:p>
      <w:r>
        <w:t>IT: TAF F-3122/2023 del 6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berührt und haben ein schutzwürdiges Interesse an deren Aufhebung beziehungsweise Änderung. Sie sind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Auf ein Asylgesuch wird in der Regel nicht eingetreten, wenn der oder die Asylsuchende in einen Drittstaat ausreisen kann,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4.3</w:t>
      </w:r>
    </w:p>
    <w:p>
      <w:r>
        <w:t>Ein Abgleich der Fingerabdrücke der Beschwerdeführenden mit der «Eurodac»-Datenbank ergab, dass sie am 14. April 2023 in Kroatien Asylgesuche gestellt hatten (SEM act. 12). Das SEM ersuchte deshalb die kroatischen Behörden am 27. April 2023 gestützt auf Art. 18 Abs. 1 Bst. b Dublin-III-VO um Wiederaufnahme der Beschwerdeführenden (SEM act. 17 und 18). Die kroatischen Behörden stimmten dem Wiederaufnahmeersuchen am 11. Mai 2023 gestützt auf Art. 20 Abs. 5 Dublin-III-VO zu. Sie wiesen hierbei darauf hin, der Beschwerdeführer 1 und die Beschwerdeführerin 2 hätten am 14. April 2023 ihren Willen zum Ausdruck gebracht, um internationalen Schutz zu ersuchen, das Aufnahmezentrum jedoch vor Durchführung ihrer Anhörung verlassen (SEM act. 36 und 37). Damit sind sowohl die Antragsstellung in Kroatien als auch der Umstand, dass das kroatische Verfahren zur Bestimmung des für das Asylgesuch der Beschwerdeführenden zuständigen Mitgliedstaats gemäss Art. 20 Abs. 5 Dublin-III-VO noch nicht abgeschlossen wurde und nach einer Rücküberstellung fortgesetzt wird, als erstellt zu betrachten (vgl. etwa Urteile des BVGer F-1959/2023 vom 19. April 2023 E. 3.4 oder F-650/2023 vom 8. Februar 2023 E. 4.4 f.).</w:t>
      </w:r>
    </w:p>
    <w:p>
      <w:r>
        <w:rPr>
          <w:b/>
        </w:rPr>
        <w:t>E. 4.4</w:t>
      </w:r>
    </w:p>
    <w:p>
      <w:r>
        <w:t>Soweit der Beschwerdeführer 1 und die Beschwerdeführerin 2 argumentieren, zur Abgabe der Fingerabdrücke gezwungen worden zu sein, gilt es sodann darauf hinzuweisen, dass die Abnahme der Fingerabdrücke von illegal einreisenden Ausländerinnen und Ausländern sich auf die Eurodac-Verordnung stützt und als legitim erweist (vgl. bspw. Urteil des BVGer F-3120/2022 vom 22. Juli 2022 E. 7.3 m.H.).</w:t>
      </w:r>
    </w:p>
    <w:p>
      <w:r>
        <w:rPr>
          <w:b/>
        </w:rPr>
        <w:t>E. 4.5</w:t>
      </w:r>
    </w:p>
    <w:p>
      <w:r>
        <w:t>Die grundsätzliche Zuständigkeit Kroatiens ist somit gegeben.</w:t>
      </w:r>
    </w:p>
    <w:p>
      <w:r>
        <w:rPr>
          <w:b/>
        </w:rPr>
        <w:t>E. 5.1</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5.2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In seinem Referenzurteil E-1488/2020 vom 22. März 2023 bestätigte das Bundesverwaltungsgericht die seit dem Referenzurteil D-1611/2016 vom 22. März 2016 bestehende Praxis der grundsätzlichen Zulässigkeit von Dublin-Überstellungen nach Kroatien, unabhängig davon, ob es sich dabei um ein "Take-Charge-" (Aufnahme) oder ein "Take-Back-" (Wiederaufnahme) Verfahren handelt; es sei nicht davon auszugehen, dass das dortige Asylverfahren und die Aufnahmebedingungen systemische Schwachstellen im Sinne von Art. 3 Abs. 2 Sätze 2 und 3 Dublin-III-VO aufweisen würden, die eine Überstellung von Gesuchstellenden generell als unzulässig erscheinen liessen (vgl. a.a.O. E. 9.5). Das Gericht hielt in diesem Zusammenhang fest, der Verdacht eines - angesichts der Situation in Kroatien auf den ersten Blick nicht unbegründeten - Gefährdungszusammenhangs zwischen Push-backs und Dublin-Rückkehr lasse sich aufgrund der verfügbaren Informationen und Erkenntnisse nicht erhärten (vgl. a.a.O. E. 9.4.2 ff.). Aktuell bestünden keine genügenden Anzeichen, die befürchten liessen, Dublin-Rückkehrende würden ohne Eröffnung oder Weiterführung eines Asylverfahrens aus Kroatien rechtswidrig ausgeschafft. Insbesondere berechtige diese Ausgangslage nicht zur Annahme, dass solches systematisch geschehen würde. Im Ergebnis sei davon auszugehen, dass Gesuchstellende, welche gestützt auf die Dublin-III-VO nach Kroatien überstellt würden, Zugang zum dortigen Asylverfahren erhielten; dies unabhängig davon, ob die gesuchstellenden Personen im Rahmen eines Take-Charge- oder - wie vorliegend - im Take-Back-Verfahrens überstellt würden. Insbesondere bestehe keine beachtliche Wahrscheinlichkeit, die Überstellten würden der Gefahr einer Verletzung ihrer aus dem Refoulement-Verbot fliessenden Rechte ausgesetzt werden (vgl. a.a.O. E. 9.5).</w:t>
      </w:r>
    </w:p>
    <w:p>
      <w:r>
        <w:rPr>
          <w:b/>
        </w:rPr>
        <w:t>E. 5.4</w:t>
      </w:r>
    </w:p>
    <w:p>
      <w:r>
        <w:t>Des Weiteren lassen die von den Beschwerdeführenden bei ihrer illegalen Einreise nach Kroatien geltend gemachten Vorkommnisse (einschüchterndes Verhalten durch Polizisten; Verfolgung durch einen Hund; kein Abgabe von sauberem Wasser; unzureichende Verpflegung; keine geschlechtergerechte Behandlung der Beschwerdeführerin 2) nicht den Schluss zu, sie hätten bei einer Überstellung nach Kroatien mit hoher Wahrscheinlichkeit eine unmenschliche oder erniedrigende Behandlung im Sinne von Art. 3 EMRK, Art. 3 FoK oder Art. 4 EU-Grundrechtecharta zu gewärtigen. Zum einen wollen sich die Betroffenen ihren Schilderungen in den Dublin-Gesprächen zufolge nicht einmal einen Tag lang in diesem Land aufgehalten haben, zum andern scheinen die geltend gemachten Erlebnisse, sofern sie auf tatsächlich Erlebtes hindeuten, im Zusammenhang mit ihrer illegalen Einreise zu stehen. Bezüglich der Behandlung von Personen an der Grenze sieht sich Kroatien schon seit geraumer Zeit mit teils schweren Vorwürfen konfrontiert (vgl. a.a.O. E. 9.1 - 9.4.2 m.w.H.). Wohl erscheint nicht ausgeschlossen, dass auch im Landesinnern die Polizei beziehungsweise Sicherheitskräfte nicht immer ein einwandfreies Verhalten an den Tag legen. Damit ist aber nichts zum vorliegend zu beurteilenden Umstand der Rückkehr der Beschwerdeführenden nach Kroatien im Rahmen eines Take-Back-Verfahrens gesagt. Bei einer Überstellung nach Kroatien würden sie auf legalem Weg in die Hauptstadt Zagreb überstellt. Sie würden damit nicht mit einer Situation konfrontiert, wie sie sie an der kroatischen Aussengrenze erlebt haben wollen (vgl. bspw. Urteil des BVGer F-1924/2023 vom 13. April 2023 E. 6.4 m.H.). Aus den beiden ins Recht gelegten, auf «Swisstransfer» abrufbaren Videos, auf welchen ein zerbissener Rucksack und ein verdreckter Raum zu sehen sein sollen, vermögen sie daher nichts zu ihren Gunsten abzuleiten. Gegen das Fehlverhalten von einzelnen Polizeibeamten könnten sie im Übrigen in Kroatien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etwa Urteile des BVGer F-1883/2023 vom 12. April 2023 oder E-5614/2022 vom 19. Dezember 2022 E. 5.2).</w:t>
      </w:r>
    </w:p>
    <w:p>
      <w:r>
        <w:rPr>
          <w:b/>
        </w:rPr>
        <w:t>E. 5.5</w:t>
      </w:r>
    </w:p>
    <w:p>
      <w:r>
        <w:t>Nach dem Gesagten ist die Anwendung von Art. 3 Abs. 2 Dublin-III-VO - auch unter Berücksichtigung der in der Beschwerde erwähnten Quellen, in welchen das kroatische Asylwesen kritisiert wird (so zwei Berichte der Schweizerischen Flüchtlingshilfe [SFH] vom 13. September 2002 und 21. Februar 2023, mehrere Berichte von Human Rights Watch [HRW] sowie ein Bericht des Europäischen Komitees zur Verhütung von Folter und unmenschlicher oder erniedrigender Behandlung oder Strafe [CPT]) - nicht gerechtfertigt.</w:t>
      </w:r>
    </w:p>
    <w:p>
      <w:r>
        <w:rPr>
          <w:b/>
        </w:rPr>
        <w:t>E. 6</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w:t>
      </w:r>
    </w:p>
    <w:p>
      <w:r>
        <w:rPr>
          <w:b/>
        </w:rPr>
        <w:t>E. 6.1</w:t>
      </w:r>
    </w:p>
    <w:p>
      <w:r>
        <w:t>Mangels systemischer Mängel im Sinne von Art. 3 Abs. 2 Dublin-III-VO kann vermutungsweise davon ausgegangen werden, dass Kroatien seinen völker- und gemeinschaftsrechtlichen Verpflichtungen gegenüber Personen in der Situation der Beschwerdeführenden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von den Betroffenen glaubhaft darzutun sind (vgl. BVGE 2010/45 E. 7.4 f.; Urteil des BVGer D-5698/2017 vom 6. März 2018 E. 5.3.1). Die Beschwerdeführenden vermögen jedoch kein konkretes und ernsthaftes Risiko darzutun, die kroatischen Behörden würden sich weigern, sie aufzunehmen und einen allfälligen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w:t>
      </w:r>
    </w:p>
    <w:p>
      <w:r>
        <w:rPr>
          <w:b/>
        </w:rPr>
        <w:t>E. 6.2</w:t>
      </w:r>
    </w:p>
    <w:p>
      <w:r>
        <w:t>Die kroatischen Behörden haben der Aufnahme der Beschwerdeführenden gestützt auf Art. 20 Abs. 5 Dublin-III-VO explizit zugestimmt und sich damit bereit erklärt, die Verantwortung für die Fortführung ihrer Asylverfahren zu übernehmen. Ausserdem haben die Betroffenen nicht dargetan, die sie bei einer Rückführung erwartenden Bedingungen seien derart schlecht, dass sie zu einer Verletzung von Art. 4 der EU-Grundrechtecharta, Art. 3 EMRK oder Art. 3 Folterkonvention (SR 0.105) führen könnten. Bei einer allfälligen vorübergehenden Einschränkung wären die Beschwerdeführenden nötigenfalls gehalten, sich an die dortigen Behörden zu wenden und die ihnen zustehenden Aufnahmebedingungen auf dem Rechtsweg einzufordern (vgl. Art. 26 Aufnahmerichtlinie). Dies gilt auch in Bezug auf die geltend gemachte schlechte Behandlung seitens der kroatischen Behörden. Aufgrund dessen erscheint es nicht angezeigt, die Vorinstanz dazu zu verpflichten, bei den kroatischen Behörden individuelle Garantien betreffend adäquater Unterbringung und Verpflegung einzuholen.</w:t>
      </w:r>
    </w:p>
    <w:p>
      <w:r>
        <w:rPr>
          <w:b/>
        </w:rPr>
        <w:t>E. 6.3</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6.4</w:t>
      </w:r>
    </w:p>
    <w:p>
      <w:r>
        <w:t>Eine solche Situation liegt nicht vor. Aus den medizinischen Akten geht hervor, dass beim Beschwerdeführer 1 am 5. Mai 2023 und 17. Mai 2023 ein Vitamin-D-Mangel, eine Lumboischialgie, Anpassungsstörungen sowie eine gastroösophageale Refluxkrankheit diagnostiziert wurden. Zur Behandlung erhielt er entsprechende Medikamente verschrieben und eine Physiotherapie verordnet. Zudem wurde auf den 5. Juli 2023 ein psychiatrisches Konsilium angesetzt (SEM act. 38 und 42). Bezüglich der Beschwerdeführerin 2 liegen zwei gynäkologische Berichte vom 17. Mai 2023 bzw. 22. Mai 2023 vor, denen zufolge die Patientin an zu starker und zu häufiger Menstruation leidet. Indiziert seien eine allgemeine Beratung zu Fragen der Kontrazeption und regelmässige gynäkologische Routineuntersuchungen. Für den Fall von Schlafstörungen und psychischer Belastung erachtete die behandelnde Gynäkologin ausserdem eine psychiatrische Vorstellung als sinnvoll (SEM act. 40 und 46). Was die Kinder anbelangt, wiederholten die Eltern auf Beschwerdeebene ihre bereits anlässlich der Dublin-Gespräche vorgetragenen Feststellungen (Einnässen in Bezug auf C._______, aggressiveres und sensibleres Verhalten in Bezug auf D._______). Über die drei Kinder liegen keine ärztlichen Berichte vor (SEM act. 43). Damit gelingt es den Beschwerdeführenden nicht, nachzuweisen, dass sie nicht reisefähig seien oder eine Überstellung nach Kroatien ihre Gesundheit ernsthaft gefährden würde. Ihr Gesundheitszustand vermag eine Unzulässigkeit im Sinne der vorstehend zitierten restriktiven Rechtsprechung nicht zu rechtfertigen. Die von ihnen geltend gemachten gesundheitlichen Probleme sind auch nicht von einer derartigen Schwere, dass aus humanitären Gründen von einer Überstellung abgesehen werden müsste.</w:t>
      </w:r>
    </w:p>
    <w:p>
      <w:r>
        <w:rPr>
          <w:b/>
        </w:rPr>
        <w:t>E. 6.5</w:t>
      </w:r>
    </w:p>
    <w:p>
      <w:r>
        <w:t>Die Beschwerdeführenden wurden, wie bereits erwähnt, in der Schweiz im erforderlichen Mass medizinisch versorgt. Der Beschwerdeführer 1 und die Beschwerdeführerin 2 unterzogen sich zudem ärztlichen Untersuchungen. Dem SEM waren ihre gesundheitlichen Probleme - auch diejenigen psychischer Natur - bekannt. In Bezug auf das Vorliegen einer schwerwiegenden Erkrankung wären von zusätzlichen medizinischen Abklärungen keine neuen Erkenntnisse zu erwarten gewesen (zur antizipierten Beweiswürdigung vgl. BGE 141 I 60 E. 3.3 oder BGE 136 I 229 E. 5.3). Es ist deshalb nicht zu beanstanden, dass die Vorinstanz diesbezüglich keine weiteren Vorkehren getroffen hat. Ebenso wenig abzuwarten brauchte sie aufgrund des Gesagten den für den Beschwerdeführer 1 wegen seiner Anpassungsstörungen anstehenden psychiatrischen Termin vom 5. Juli 2023.</w:t>
      </w:r>
    </w:p>
    <w:p>
      <w:r>
        <w:rPr>
          <w:b/>
        </w:rPr>
        <w:t>E. 6.6</w:t>
      </w:r>
    </w:p>
    <w:p>
      <w:r>
        <w:t>Die Mitgliedstaaten sind verpflichtet, den antragstellenden Personen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nötigenfalls einer geeigneten psychologischen Betreuung) zu gewähren (Art. 19 Abs. 2 Aufnahmerichtlinie). Kroatien verfügt grundsätzlich über eine ausreichende medizinische Infrastruktur. Auch der Zugang zu psychologischer Behandlung ist dort gewährleistet (vgl. statt vieler Urteil des BVGer E-423/2023 vom 31. Januar 2023 E. 7.2.4 m.w.H.). Es liegen keine Hinweise vor, wonach Kroatien den Beschwerdeführenden eine adäquate medizinische Behandlung verweigern würde. Im Übrigen trägt die Vorinstanz dem aktuellen Gesundheitszustand der Betroffenen bei der Organisation der Überstellung nach Kroatien Rechnung, indem sie die dortigen Behörden vor der Überstellung über ihren Zustand und eine allfällig notwendige medizinische Behandlung informiert. Dies ist vorliegend geschehen, figurieren die aktenkundigen Diagnosen (Beschwerdeführer 1: Vitamin-D-Mangel, Lumboischialgie, Anpassungsstörungen, gastroösophageale Refluxkrankheit; Beschwerdeführerin 2: Zu starke und zu häufige Menstruation bei unregelmässigem Menstruationszyklus) doch in der Beschreibung der Überstellungsmodalitäten (SEM act. 47). Auch diesbezüglich bedarf es mithin keiner zusätzlicher individueller Garantien seitens der kroatischen Behörden.</w:t>
      </w:r>
    </w:p>
    <w:p>
      <w:r>
        <w:rPr>
          <w:b/>
        </w:rPr>
        <w:t>E. 6.7</w:t>
      </w:r>
    </w:p>
    <w:p>
      <w:r>
        <w:t>Die Beschwerdeführenden rügen schliesslich, die Vorinstanz habe sich im Rahmen von Art. 3 des Übereinkommens vom 20. November 1989 über die Rechte des Kindes (Kinderrechtskonvention, KRK, SR 0.107) nicht ernsthaft mit dem Kindeswohl befasst. Entgegen deren Meinung trug das SEM dem Kindeswohl durchaus Rechnung. So erwähnte es in der angefochtenen Verfügung auch diejenigen Ausführungen des Beschwerdeführers 1 und der Beschwerdeführerin 2 anlässlich des Dublin-Gesprächs, welche ihre drei Kinder betrafen. Ferner setzte es sich mit der gesundheitlichen Situation der Kinder einzeln auseinander und hielt fest, dass das Kindeswohl dem Wegweisungsvollzug nicht entgegenstehe. Weitere Ausführungen dazu waren unter den konkreten Begebenheiten nicht erforderlich. Kroatien ist Vertragsstaat der KRK und es deutet nichts darauf hin, dass dieses Land die sich daraus ergebenden völkerrechtlichen Verpflichtungen nicht beachtet. Abgesehen davon kann aus der KRK kein Anspruch auf Aufenthalt im Staat mit den für ein Kind vorteilhaftesten Lebensbedingungen abgeleitet werden. Ebenso wenig kann angesichts der sehr kurzen Anwesenheit hierzulande von einer rechtlich relevanten Verwurzelung der Kinder in der Schweiz ausgegangen werden (vgl. bspw. Urteile des BVGer F-1924/2023 vom 13. April 2023 E. 7.6 oder F-37/2023 vom 6. Januar 2023 E. 11.2).</w:t>
      </w:r>
    </w:p>
    <w:p>
      <w:r>
        <w:rPr>
          <w:b/>
        </w:rPr>
        <w:t>E. 6.8</w:t>
      </w:r>
    </w:p>
    <w:p>
      <w:r>
        <w:t>Nach dem Ausgeführten konnten die Beschwerdeführenden kein konkretes und ernsthaftes Risiko dartun, dass ihre Überstellung nach Kroatien die Verletzung völkerrechtlicher Bestimmungen zur Folge hätte. Ein notwendiger Selbsteintritt gebietet sich daher nicht.</w:t>
      </w:r>
    </w:p>
    <w:p>
      <w:r>
        <w:rPr>
          <w:b/>
        </w:rPr>
        <w:t>E. 7</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w:t>
      </w:r>
    </w:p>
    <w:p>
      <w:r>
        <w:t>Nach dem Gesagten besteht kein Grund für eine Anwendung der Ermessensklauseln von Art. 17 Dublin-III-VO. Somit bleibt Kroatien der für die Behandlung der Asylgesuche der Beschwerdeführenden zuständige Mitgliedstaat gemäss Dublin-III-VO.</w:t>
      </w:r>
    </w:p>
    <w:p>
      <w:r>
        <w:rPr>
          <w:b/>
        </w:rPr>
        <w:t>E. 9</w:t>
      </w:r>
    </w:p>
    <w:p>
      <w:r>
        <w:t>Das SEM ist zu Recht in Anwendung von Art. 31a Abs. 1 Bst. b AsylG auf die Asylgesuche der Beschwerdeführenden nicht eingetreten. Da sie nicht im Besitz einer gültigen Aufenthalts- oder Niederlassungsbewilligung sind, wurde die Überstellung nach Kroatien in Anwendung von Art. 44 AsylG ebenfalls zu Recht angeordnet (Art. 32 Bst. a AsylV 1).</w:t>
      </w:r>
    </w:p>
    <w:p>
      <w:r>
        <w:rPr>
          <w:b/>
        </w:rPr>
        <w:t>E. 10</w:t>
      </w:r>
    </w:p>
    <w:p>
      <w:r>
        <w:t>Die Beschwerde ist abzuweisen und die Verfügung des SEM zu bestätigen.</w:t>
      </w:r>
    </w:p>
    <w:p>
      <w:r>
        <w:rPr>
          <w:b/>
        </w:rPr>
        <w:t>E. 11</w:t>
      </w:r>
    </w:p>
    <w:p>
      <w:r>
        <w:t>Mit dem Entscheid in der Hauptsache sind die Gesuche um Erteilung der aufschiebenden Wirkung und um Verzicht auf die Erhebung eines Kostenvorschusses gegenstandslos geworden. Der am 1. Juni 2023 angeordnete Vollzugsstopp fällt mit vorliegendem Urteil dahin.</w:t>
      </w:r>
    </w:p>
    <w:p>
      <w:r>
        <w:rPr>
          <w:b/>
        </w:rPr>
        <w:t>E. 12</w:t>
      </w:r>
    </w:p>
    <w:p>
      <w:r>
        <w:t>Das Gesuch um Gewährung der unentgeltlichen Prozessführung ist abzuweisen, da die Beschwerde - wie sich aus den vorstehenden Erwägungen ergibt - als aussichtslos zu bezeichnen ist. Somit sind die Voraussetzungen von Art. 65 Abs. 1 VwVG nicht erfüllt; die Verfahrenskosten sind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