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F-3118/2019 vom 6. Juli 2020</w:t>
      </w:r>
    </w:p>
    <w:p>
      <w:r>
        <w:t>Bundesverwaltungsgericht, 2020-07-06, FR</w:t>
      </w:r>
    </w:p>
    <w:p>
      <w:r>
        <w:rPr>
          <w:b/>
        </w:rPr>
        <w:t xml:space="preserve">Quelle: </w:t>
      </w:r>
      <w:r>
        <w:t>https://mcp.opencaselaw.ch/entscheid/bvger_F-3118_2019</w:t>
      </w:r>
    </w:p>
    <w:p>
      <w:r>
        <w:t>FR: TAF F-3118/2019 du 6 juillet 2020</w:t>
      </w:r>
    </w:p>
    <w:p>
      <w:r>
        <w:t>IT: TAF F-3118/2019 del 6 luglio 2020</w:t>
      </w:r>
    </w:p>
    <w:p>
      <w:pPr>
        <w:pStyle w:val="Heading2"/>
      </w:pPr>
      <w:r>
        <w:t>Regeste</w:t>
      </w:r>
    </w:p>
    <w:p>
      <w:r>
        <w:t>Interdiction d'entrée</w:t>
      </w:r>
    </w:p>
    <w:p>
      <w:pPr>
        <w:pStyle w:val="Heading2"/>
      </w:pPr>
      <w:r>
        <w:t>Erwägungen</w:t>
      </w:r>
    </w:p>
    <w:p>
      <w:r>
        <w:rPr>
          <w:b/>
        </w:rPr>
        <w:t>E. 8</w:t>
      </w:r>
    </w:p>
    <w:p>
      <w:r>
        <w:t>Le SEM a par ailleurs ordonné l'inscription de l'interdiction d'entrée dans le SIS. En raison de ce signalement, il est interdit au recourant de pénétrer dans l'Espace Schengen.</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8.2</w:t>
      </w:r>
    </w:p>
    <w:p>
      <w:r>
        <w:t>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9.1</w:t>
      </w:r>
    </w:p>
    <w:p>
      <w:r>
        <w:t>Au vu de ce qui précède, l'autorité inférieure, en rendant sa décision du 20 mai 2019,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