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F-3117/2021 vom 14. Juli 2021</w:t>
      </w:r>
    </w:p>
    <w:p>
      <w:r>
        <w:t>Bundesverwaltungsgericht, 2021-07-14, DE</w:t>
      </w:r>
    </w:p>
    <w:p>
      <w:r>
        <w:rPr>
          <w:b/>
        </w:rPr>
        <w:t xml:space="preserve">Quelle: </w:t>
      </w:r>
      <w:r>
        <w:t>https://mcp.opencaselaw.ch/entscheid/bvger_F-3117_2021</w:t>
      </w:r>
    </w:p>
    <w:p>
      <w:r>
        <w:t>FR: TAF F-3117/2021 du 14 juillet 2021</w:t>
      </w:r>
    </w:p>
    <w:p>
      <w:r>
        <w:t>IT: TAF F-3117/2021 del 14 luglio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Die Beurteilungskompetenz der Beschwerdeinstanz ist vorliegend auf die Frage beschränkt, ob die Vorinstanz zu Recht auf das Asylgesuch des Beschwerdeführers nicht eingetreten ist (vgl. BVGE 2017 VI/5 E. 3.1; 2012/4 E. 2.2; je m.w.H.). Die Fragen der Anerkennung der Flüchtlingseigenschaft, der Gewährung von Asyl beziehungsweise der Anordnung einer vorläufigen Aufnahme bildeten nicht Gegenstand des angefochtenen Nichteintretensentscheids, weshalb sie auch nicht Gegenstand des dagegen gerichteten Beschwerdeverfahrens sein können. Auf die entsprechenden Rechtsbegehren ist daher nicht einzutreten. Im Übrigen ist auf die frist- und formgerecht eingereichte Beschwerde jedoch einzutreten (Art. 108 Abs. 3 AsylG und Art. 52 Abs. 1 VwVG).</w:t>
      </w:r>
    </w:p>
    <w:p>
      <w:r>
        <w:rPr>
          <w:b/>
        </w:rPr>
        <w:t>E. 1.3</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Ein Abgleich der Fingerabdrücke mit der "Eurodac"-Datenbank ergab, dass der Beschwerdeführer am 22. Januar 2021 in Rumänien um Asyl ersucht hatte. Er bestreitet diesen Sachverhalt nicht. Rumänien stimmte seiner Wiederaufnahme am 15. Juni 2021 gestützt auf Art. 18 Abs. 1 Bst. c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in Verbindung mit Art. 23 Dublin-III-VO zu. Sodann gaben die rumänischen Behörden an, am 29. März 2021 ein Wiederaufnahmeersuchen der Slowakei gutgeheissen zu haben (SEM-act. 16). Die grundsätzliche Wiederaufnahmezuständigkeit Rumäniens zur Durchführung des Asyl- und Wegweisungsverfahrens ist daher vorliegend gegeben (Art. 31a Abs. 1 Bst. b AsylG).</w:t>
      </w:r>
    </w:p>
    <w:p>
      <w:r>
        <w:rPr>
          <w:b/>
        </w:rPr>
        <w:t>E. 4.1</w:t>
      </w:r>
    </w:p>
    <w:p>
      <w:r>
        <w:t>Vor Bundesverwaltungsgericht bringt der Beschwerdeführer erstmals vor, in Rumänien Probleme mit (Menschen-) Schmugglern zu haben. Diese hätten ihn geschlagen und mit Verfolgung sowie dem Tode gedroht. Mit Hilfe anderer afghanischer Staatsangehöriger habe er nach Tschechien fliehen können. In Rumänien sei er geschlagen worden. Die Polizei habe ihm die Nase gebrochen und sein Mobiltelefon sowie sein Geld weggenommen. In Rumänien auf der Strasse leben zu müssen sei unmenschlich. In einem solchen Fall sei es besser, tot zu sein.</w:t>
      </w:r>
    </w:p>
    <w:p>
      <w:r>
        <w:rPr>
          <w:b/>
        </w:rPr>
        <w:t>E. 4.2</w:t>
      </w:r>
    </w:p>
    <w:p>
      <w:r>
        <w:t>Anlässlich des ihm am 8. Juni 2021 gewährten rechtlichen Gehörs trug der Beschwerdeführer keinerlei Gründe vor, die gegen eine Überstellung nach Rumänien sprechen. Gegenüber der Vorinstanz gab er zudem mehrmals an, von Rumänien aus in die Slowakei, und nicht nach Tschechien gelangt zu sein. Die Glaubhaftigkeit seiner Vorbringen ist deshalb zu relativieren. Seine Aussagen zu seiner Verfolgung durch Schmugglerbanden sowie zur Polizeigewalt in Rumänien sind gänzlich unsubstantiiert und entbehren eines jeglichen Nachweises. Sie erwecken den Anschein einer Schutzbehauptung. Darauf ist im vorliegenden Verfahren daher nicht näher einzugehen.</w:t>
      </w:r>
    </w:p>
    <w:p>
      <w:r>
        <w:rPr>
          <w:b/>
        </w:rPr>
        <w:t>E. 4.3</w:t>
      </w:r>
    </w:p>
    <w:p>
      <w:r>
        <w:t>Nach seiner Wiederaufnahme ist der Beschwerdeführer gestützt auf Art. 18 Abs. 1 Bst. c Dublin-III-VO und Art. 18 Abs. 2 Dublin-III-VO berechtigt, in Rumänien den Abschluss der Prüfung seines Asylgesuches zu verlangen. Alternativ kann er ein neues Asylgesuch stellen, das nicht als Folgeantrag geprüft werden darf (vgl. Urteil des BVGer F-555/2021 vom 12. Februar 2021). Im Weiteren ist die Sorge, in Rumänien auf der Strasse leben zu müssen, unberechtigt. Hinweise für den Bestand einer ernsthaften Gefahr, dass die rumänischen Behörden ihm den Zugang zum Asylverfahren verweigern oder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würden, sind keine ersichtlich.</w:t>
      </w:r>
    </w:p>
    <w:p>
      <w:r>
        <w:rPr>
          <w:b/>
        </w:rPr>
        <w:t>E. 5</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der Asylverordnung 1 vom 11. August 1999 (AsylV 1, SR 142.311) verankerten Selbsteintrittsrecht keinen Gebrauch gemacht hat. Zu Recht ist sie auf das Asylgesuch nicht eingetreten und hat die Überstellung nach Rumänien verfügt. Die Beschwerde ist abzuweisen, soweit darauf eingetreten werden kann. Der Antrag auf Gewährung aufschiebender Wirkung erweist sich mit der Ausfällung des vorliegenden Urteils als gegenstandslos.</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