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F-3109/2023 vom 6. Juni 2023</w:t>
      </w:r>
    </w:p>
    <w:p>
      <w:r>
        <w:t>Bundesverwaltungsgericht, 2023-06-06, DE</w:t>
      </w:r>
    </w:p>
    <w:p>
      <w:r>
        <w:rPr>
          <w:b/>
        </w:rPr>
        <w:t xml:space="preserve">Quelle: </w:t>
      </w:r>
      <w:r>
        <w:t>https://mcp.opencaselaw.ch/entscheid/bvger_F-3109_2023</w:t>
      </w:r>
    </w:p>
    <w:p>
      <w:r>
        <w:t>FR: TAF F-3109/2023 du 6 juin 2023</w:t>
      </w:r>
    </w:p>
    <w:p>
      <w:r>
        <w:t>IT: TAF F-3109/2023 del 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den angefochtenen Entscheid des SEM in formeller Hinsicht in verschiedenen Punkten, so betreffend systemischer Mängel im kroatischen Asylverfahren, Push-Backs und Kettenabschiebungen, Polizeigewalt, Gesundheitsversorgung und Unterbringungsmöglichkeiten für Asylsuchende. Die Vorinstanz habe in diesem Zusammenhang wichtige Tatsachen, welche zur Zuständigkeit der Schweiz führen würden, nicht näher abgeklärt. Ein pauschaler Verweis auf die theoretisch bestehenden völkerrechtlichen Verpflichtungen in Kroatien reiche bei derart klaren Hinweisen auf eine Verletzung derselben nicht aus, um eine Rückführung ohne weitere Abklärungen zu rechtfertigen. Dadurch liege eine Verletzung des Untersuchungsgrundsatzes und - sinngemäss - des rechtlichen Gehörs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den vorliegenden Unterlagen (vgl. SEM act. 1225416-22/19 [nachfolgend: act. 22]) mit seiner individuellen Situation, der von ihm angeführten Behandlung nach seinem Grenzübertritt in Kroatien, den ihm offenstehenden Möglichkeiten, sich dort gegen ungerechte oder rechtswidrige Behandlung zu wehren und ein Asylgesuch einzureichen, der allgemeinen Situation inklusive der Push-Back-Problematik - unter Hinweis auf mehrere Abklärungen der Schweizer Vertretung in Kroatien - und seinem Gesundheitszustand sowie der medizinischen Versorgung in Kroatien auseinandergesetzt. Es ist nicht ersichtlich, in welcher Hinsicht hier noch konkrete weitere Abklärungen hätten vorgenommen werden müssen. Es ist demnach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act. 22 S. 3-8).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zum Verhalten der kroatischen Grenzbehörden dem Beschwerdeführer gegenüber nach seiner illegalen Einreise, zur Frage einer Kettenabschiebung und zu derjenigen des Vorliegens von systemischen Mängeln im kroatischen Asyl- und Aufnahmesystem sowie zu seinen Möglichkeiten, sich gegen unkorrektes Verhalten zu wehren und medizinisch versorgt zu werden,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Beweismittel nicht teilt,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 wie hier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6</w:t>
      </w:r>
    </w:p>
    <w:p>
      <w:r>
        <w:t>Der Beschwerdeführer bestreitet nicht, sich vor der Einreise in die Schweiz in Kroatien aufgehalten zu haben. Die dortigen Behörden stimmten dem Gesuch des SEM um Übernahme am 24. März 2023 ausdrücklich zu (vgl. SEM act. 1225416/16/1). Die grundsätzliche Zuständigkeit Kroatiens ist somit gegeben und wird in der Beschwerde nicht bestritten.</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angenommen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Asylverfahren und die Aufnahmebedingungen in Kroatien systemische Schwachstellen im Sinne von Art. 3 Abs. 2 Sätze 2 und 3 Dublin-III-VO aufweisen würden, die eine Überstellung von Gesuchstellenden generell als unzulässig erscheinen liessen (vgl. a.a.O. E. 9.5). Das Gericht hielt fest, der Verdacht eines - angesichts der Situation in Kroatien auf den ersten Blick nicht unbegründeten - Gefährdungszusammenhangs zwischen Push-backs und Dublin-Rückkehr lasse sich aufgrund der verfügbaren Informationen und Erkenntnisse nicht erhärten (vgl. a.a.O. E. 9.4.2 ff.). Zum heutigen Zeitpunkt bestünden keine genügenden Anzeichen, die befürchten lassen würden, Dublin-Rückkehrende würden ohne Eröffnung und Durchführung eines Asylverfahrens aus Kroatien rechtswidrig ausgeschafft. Insbesondere sei aufgrund dieser Ausgangslage nicht anzunehmen, dass solches systematisch geschehen würde. Gestützt auf die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7.3</w:t>
      </w:r>
    </w:p>
    <w:p>
      <w:r>
        <w:t>Sodann lassen die vom Beschwerdeführer bei seiner illegalen Einreise nach Kroatien geltend gemachten Vorkommnisse (Abnahme des Mobiltelefons und von Geld, wobei das Geld nicht mehr zurückgegeben worden sei; grobes Verhalten; kein Erhalt von Wasser und Nahrung während [Nennung Dauer]) nicht den Schluss zu, er hätte bei einer Überstellung nach Kroatien mit hoher Wahrscheinlichkeit eine unmenschliche oder erniedrigende Behandlung im Sinne von Art. 3 EMRK, Art. 3 FoK oder Art. 4 EU-Grundrechtecharta zu gewärtigen.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7.4</w:t>
      </w:r>
    </w:p>
    <w:p>
      <w:r>
        <w:t>Nach dem Gesagten ist die Anwendung von Art. 3 Abs. 2 Dublin-III-VO - auch unter Berücksichtigung der in der Beschwerde erwähnten Quellen, in welchen das kroatische Asylwesen kritisiert wird (so insbesondere: [Nennung Quellen]) -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der Beschwerdeführer nötigenfalls gehalten, sich an die dortigen Behörden zu wenden und die ihm zustehenden Aufnahmebedingungen auf dem Rechtsweg einzufordern (vgl. Art. 26 Aufnahmerichtlinie). Dies gilt auch in Bezug auf das geltend gemachte Verhalten seitens der kroatischen Behörden, das sich im Übrigen auf Vorkommnisse nach seiner illegalen Einreise und nicht auf den Aufenthalt in den dortigen Aufenthaltsstrukturen bezieht.</w:t>
      </w:r>
    </w:p>
    <w:p>
      <w:r>
        <w:rPr>
          <w:b/>
        </w:rPr>
        <w:t>E. 8.3</w:t>
      </w:r>
    </w:p>
    <w:p>
      <w:r>
        <w:t>Betreffend den Gesundheitszustand lässt sich den vorinstanzlichen Akten (vgl. SEM act. 1225416-18/1) entnehmen, dass sich der Beschwerdeführer zwischen (...) und (...) wegen (Nennung Gründe) beim medizinischen Personal gemeldet und entsprechende Arzneimittel erhalten hat. Zudem wurde er am (...) und (...) (Nennung Behandlung) [...]. Psychische Probleme hat er dort nicht geltend gemacht, obwohl er anlässlich des Dublin-Gesprächs anführte, die Ereignisse in Kroatien hätten ihn traumatisiert (vgl. SEM act. 1225416-12/3 S. 2 Mitte) respektive schwer traumatisiert (vgl. Beschwerdeschrift S. 4 Rz 6). Die geltend gemachten gesundheitlichen Beeinträchtigungen sind gesamthaft nicht derart gravierend, dass in Anwendung von Art. 3 EMRK von einer Überstellung nach Kroatien abgesehen werden müsste (vgl. dazu Urteil des EGMR Paposhvili gegen Belgien vom 13. Dezember 2016, Grosse Kammer, 41738/10, §§ 180-193 m.w.H.). Im Übrigen verfügt das Land über eine ausreichende medizinische Infrastruktur und ist verpflichtet, den Antragstellenden die erforderliche medizinische Versorgung zugänglich zu machen (vgl. Art. 19 Abs. 1 Aufnahmerichtlinie). Entgegen den Ausführungen in der Rechtsmitteleingabe (vgl. Ziff. 1.2.4, S. 7) ist auch der Zugang zu psychologischer Behandlung grundsätzlich gewährleistet (vgl. bspw. Urteile D-516/2023 vom 11. April 2023 E. 6.5.2; F-12/2023 vom 27. März 2023 E. 7.4.3). Folglich droht keine Verletzung von Art. 3 EMRK, weshalb die Schweiz nicht zum Selbsteintritt nach Art. 17 Abs. 1 Dublin-III-VO verpflichtet ist. Vor diesem Hintergrund ist es nicht angezeigt, die Vorinstanz zu verpflichten, bei den kroatischen Behörden individuelle Garantien hinsichtlich Unterkunft, Nahrung und adäquater medizinischer Versorgung einzuholen. Der entsprechende Eventualantrag (Rechtsbegehren Ziff. 4) ist abzuweisen.</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 Juni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