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F-3100/2022 vom 4. August 2022</w:t>
      </w:r>
    </w:p>
    <w:p>
      <w:r>
        <w:t>Bundesverwaltungsgericht, 2022-08-04, DE</w:t>
      </w:r>
    </w:p>
    <w:p>
      <w:r>
        <w:rPr>
          <w:b/>
        </w:rPr>
        <w:t xml:space="preserve">Quelle: </w:t>
      </w:r>
      <w:r>
        <w:t>https://mcp.opencaselaw.ch/entscheid/bvger_F-3100_2022</w:t>
      </w:r>
    </w:p>
    <w:p>
      <w:r>
        <w:t>FR: TAF F-3100/2022 du 4 août 2022</w:t>
      </w:r>
    </w:p>
    <w:p>
      <w:r>
        <w:t>IT: TAF F-3100/2022 del 4 agosto 2022</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 [SR 142.31]).</w:t>
      </w:r>
    </w:p>
    <w:p>
      <w:r>
        <w:rPr>
          <w:b/>
        </w:rPr>
        <w:t>E. 1.2</w:t>
      </w:r>
    </w:p>
    <w:p>
      <w:r>
        <w:t>Die Beschwerde ist zulässig (Art. 105 AsylG; Art. 31 ff. VGG). Die übrigen Sachurteilsvoraussetzungen (Legitimation [Art. 48 Abs. 1 VwVG], Frist [Art. 108 Abs. 3 AsylG] und Form [Art. 52 VwVG] sind offensichtlich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Der Beschwerdeführer beantragt, die Sache sei wegen unvollständiger und unrichtiger Feststellung des rechtserheblichen Sachverhalts sowie wegen Verletzung des Anspruchs auf rechtliches Gehör an die Vorinstanz zurückzuweisen. Diese habe die österreichischen Behörden ursprünglich gestützt auf Art. 18 Abs. 1 Bst. b Dublin-III-VO um Übernahme ersucht. Dieses Ersuchen hätten die österreichischen Behörden abgelehnt. Im Rahmen der Remonstration habe die Vorinstanz sich dagegen auf Art. 18 Abs. 1 Bst. d Dublin-III-VO gestützt, woraufhin die österreichischen Behörden der Übernahme zugestimmt hätten. Es stehe somit fest, dass die Auffassung der schweizerischen und der österreichischen Behörden nicht übereinstimmen würden. Auf diese Widersprüche sei die Vorinstanz in der angefochtenen Verfügung nicht eingegangen. Ferner habe sie seine Vorbringen nicht vollständig abgeklärt.</w:t>
      </w:r>
    </w:p>
    <w:p>
      <w:r>
        <w:rPr>
          <w:b/>
        </w:rPr>
        <w:t>E. 3.2</w:t>
      </w:r>
    </w:p>
    <w:p>
      <w:r>
        <w:t>Die österreichischen Behörden haben dem Wiederaufnahmegesuch der Vorinstanz gestützt auf die von dieser im Remonstrationsverfahren angerufene Bestimmung - nämlich Art. 18 Abs. 1 Bst. d Dublin-III-VO - zugestimmt. Eine Diskrepanz in der «Auffassung» der jeweiligen Behörden ist nicht erkennbar, weshalb die formellen Rügen des Beschwerdeführers jeglicher Grundlage entbehren. Der Umstand, dass sich die Vorinstanz im ursprünglichen Ersuchen an die österreichischen Behörden auf eine andere Bestimmung gestützt hat als im Rahmen des Remonstrationsverfahrens, vermag daran nichts zu ändern (vgl. dazu E. 5.2). Es ist weder eine Verletzung des rechtlichen Gehörs (Art. 29 Abs. 2 BV) noch der Pflicht zur vollständigen und richtigen Sachverhaltsabklärung (Art. 49 Bst. b VwVG bzw. Art. 106 Abs. 1 Bst. b AsylG) ersichtlich. Es besteht demnach keine Veranlassung, die angefochtene Verfügung aufzuheben und die Sache an die Vorinstanz zurückzuweisen. Das entsprechende Rechtsbegehren ist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4.3</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5.1</w:t>
      </w:r>
    </w:p>
    <w:p>
      <w:r>
        <w:t>Nachdem die österreichischen Behörden innert der in Art. 25 Abs. 1 Dublin-III-VO festgelegten Frist dem Wiederaufnahmegesuch der Vorinstanz zugestimmt haben, ist die Zuständigkeit Österreichs grundsätzlich gegeben.</w:t>
      </w:r>
    </w:p>
    <w:p>
      <w:r>
        <w:rPr>
          <w:b/>
        </w:rPr>
        <w:t>E. 5.2</w:t>
      </w:r>
    </w:p>
    <w:p>
      <w:r>
        <w:t>Der Beschwerdeführer bestreitet die Zuständigkeit Österreichs und bringt vor, die Vorinstanz habe Art. 31a Abs. 1 Bst. b AsylG verletzt, da die Voraussetzungen des Remonstrationsverfahrens nicht erfüllt gewesen seien. Diese habe zwei unterschiedlich begründete und sich auf unterschiedliche Rechtsbestimmungen beziehende Ersuchen an die österreichischen Behörden gestellt. Aus dem Umstand, dass sich die Vorinstanz im Rahmen des Remonstrationsverfahrens auf eine andere Bestimmung der Dublin-III-VO gestützt hat als anlässlich des ursprünglichen Wiederaufnahmegesuchs, und den Sachverhalt präzisiert hat, ergibt sich keine Verletzung von Art. 31a Abs. 1 Bst. b AsylG. Vom Remonstrationsverfahren kann gerade bei Vorliegen neuer Beweismittel und damit auch bei Sachverhaltsänderungen Gebrauch gemacht werden (s. Wortlaut von Art. 5 Abs. 2 erster Satz DVO; vgl. ferner Filzwieser/Sprung, Dublin III-Verordnung, Wien 2014, Art. 11 K3). Dies gilt entsprechend ebenfalls für Präzisierungen des Sachverhalts und der anwendbaren Bestimmungen, wie dies vorliegend der Fall ist. Die österreichischen Behörden haben dem Wiederaufnahmeersuchen der Vorinstanz, wie von dieser beantragt, gestützt auf Art. 18 Abs. 1 Bst. d Dublin-III-VO zugestimmt. Der Tatbestand dieser Bestimmung ist erfüllt, wurde doch der Antrag des Beschwerdeführers in Österreich gemäss seinen eigenen Angaben abgelehnt. Österreich ist somit zur Wiederaufnahme des Beschwerdeführers gemäss Art. 18 Abs. 1 Bst. d Dublin-III-VO verpflichtet.</w:t>
      </w:r>
    </w:p>
    <w:p>
      <w:r>
        <w:rPr>
          <w:b/>
        </w:rPr>
        <w:t>E. 6</w:t>
      </w:r>
    </w:p>
    <w:p>
      <w:r>
        <w:t>Nachfolgend ist zu prüfen, ob - wie beantragt - das Selbsteintrittsrecht nach Art. 17 Abs. 1 erster Satz Dublin-III-VO auszuüben ist.</w:t>
      </w:r>
    </w:p>
    <w:p>
      <w:r>
        <w:rPr>
          <w:b/>
        </w:rPr>
        <w:t>E. 6.1</w:t>
      </w:r>
    </w:p>
    <w:p>
      <w:r>
        <w:t>Der Beschwerdeführer führt an, er werde in der Türkei verfolgt und habe von Anfang an in der Schweiz in der Nähe seiner Bekannten um Schutz ersuchen wollen. Es dränge sich aus humanitären Gründen zwingend auf, dass das SEM sein Asylgesuch behandle.</w:t>
      </w:r>
    </w:p>
    <w:p>
      <w:r>
        <w:rPr>
          <w:b/>
        </w:rPr>
        <w:t>E. 6.2</w:t>
      </w:r>
    </w:p>
    <w:p>
      <w:r>
        <w:t>Soweit der Beschwerdeführer geltend macht, in der Türkei verfolgt zu werden, ist darauf nicht einzugehen, da eine allfällige Wegweisung in die Türkei nicht Gegenstand des vorliegenden Verfahrens bildet.</w:t>
      </w:r>
    </w:p>
    <w:p>
      <w:r>
        <w:rPr>
          <w:b/>
        </w:rPr>
        <w:t>E. 6.3</w:t>
      </w:r>
    </w:p>
    <w:p>
      <w:r>
        <w:t>Die Dublin-III-VO räumt den Schutzsuchenden grundsätzlich kein Recht ein, den ihren Antrag prüfenden Staat selber auszuwählen (vgl. BVGE 2010/45 E. 8.3). Die persönliche Präferenz des Beschwerdeführers ist somit unerheblich.</w:t>
      </w:r>
    </w:p>
    <w:p>
      <w:r>
        <w:rPr>
          <w:b/>
        </w:rPr>
        <w:t>E. 6.4</w:t>
      </w:r>
    </w:p>
    <w:p>
      <w:r>
        <w:t>Es liegen keine Hinweise dafür vor, dass die Behandlung des Asylgesuches des Beschwerdeführers in Österreich mangelhaft gewesen sein könnte und seine Wegweisung - sollte sie bereits ergangen sein - in Verletzung des Non-Refoulement-Prinzips verfügt worden wäre. In diesem Zusammenhang ist darauf hinzuweisen, dass ein allfälliger definitiver Entscheid über ein Asylgesuch und die Wegweisung ins Heimatland nicht eo ipso eine Verletzung des Non-Refoulement-Prinzips darstellen (siehe Urteil des BVGer E-1234/2022 vom 23. März 2022 E. 6.2).</w:t>
      </w:r>
    </w:p>
    <w:p>
      <w:r>
        <w:rPr>
          <w:b/>
        </w:rPr>
        <w:t>E. 6.5</w:t>
      </w:r>
    </w:p>
    <w:p>
      <w:r>
        <w:t>Die Vorinstanz hat somit das Selbsteintrittsrecht von Art. 17 Dublin-III-VO sowie Art. 29a Abs. 3 AsylV 1 zu Recht nicht ausgeübt. Weder ist die Schweiz völkerrechtlich verpflichtet, auf das Asylgesuch einzutreten, noch liegen humanitäre Gründe vor, welche einen Selbsteintritt nahelegen würden.</w:t>
      </w:r>
    </w:p>
    <w:p>
      <w:r>
        <w:rPr>
          <w:b/>
        </w:rPr>
        <w:t>E. 7</w:t>
      </w:r>
    </w:p>
    <w:p>
      <w:r>
        <w:t>Die Vorinstanz ist demnach zu Recht gestützt auf Art. 31a Abs. 1 Bst. b AsylG auf das Asylgesuch des Beschwerdeführers nicht eingetreten und hat die Wegweisung nach Österreich angeordnet.</w:t>
      </w:r>
    </w:p>
    <w:p>
      <w:r>
        <w:rPr>
          <w:b/>
        </w:rPr>
        <w:t>E. 8</w:t>
      </w:r>
    </w:p>
    <w:p>
      <w:r>
        <w:t>Nach dem Gesagten ist die Beschwerde abzuweisen. Mit dem vorliegenden Urteil fällt die am 21. Juli 2022 angeordnete aufschiebende Wirkung dahin.</w:t>
      </w:r>
    </w:p>
    <w:p>
      <w:r>
        <w:rPr>
          <w:b/>
        </w:rPr>
        <w:t>E. 9</w:t>
      </w:r>
    </w:p>
    <w:p>
      <w:r>
        <w:t>Das Gesuch um Gewährung der unentgeltlichen Prozessführung (Art. 65 Abs. 1 VwVG) ist abzuweisen, da die Begehren - wie sich aus den vorstehenden Erwägungen ergibt - als aussichtslos zu bezeichnen sind. Die Verfahrenskosten sind dem Beschwerdeführer aufzuerlegen (Art. 63 Abs. 1 VwVG) und auf insgesamt Fr. 750.- festzusetzen (Art. 1-3 des Reglements vom 21. Februar 2008 über die Kosten und Entschädigungen vor dem Bundesverwaltungsgericht [VGKE, SR 173.320.2]).</w:t>
      </w:r>
    </w:p>
    <w:p>
      <w:r>
        <w:rPr>
          <w:b/>
        </w:rPr>
        <w:t>E. 10</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