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F-308/2018 vom 2. März 2020</w:t>
      </w:r>
    </w:p>
    <w:p>
      <w:r>
        <w:t>Bundesverwaltungsgericht, 2020-03-02, DE</w:t>
      </w:r>
    </w:p>
    <w:p>
      <w:r>
        <w:rPr>
          <w:b/>
        </w:rPr>
        <w:t xml:space="preserve">Quelle: </w:t>
      </w:r>
      <w:r>
        <w:t>https://mcp.opencaselaw.ch/entscheid/bvger_F-308_2018</w:t>
      </w:r>
    </w:p>
    <w:p>
      <w:r>
        <w:t>FR: TAF F-308/2018 du 2 mars 2020</w:t>
      </w:r>
    </w:p>
    <w:p>
      <w:r>
        <w:t>IT: TAF F-308/2018 del 2 marzo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frist- und formgerecht eingereichte Beschwerde ist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auch der Titel des Gesetzes in "Ausländer- und Integrationsgesetz" (AIG) geändert.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4.1</w:t>
      </w:r>
    </w:p>
    <w:p>
      <w:r>
        <w:t>Vorab ist auf die Rüge des Beschwerdeführers einzugehen, die Vor-instanz sei ihrer Begründungspflicht nicht rechtsgenüglich nachgekommen, da sie keine konkreten Angaben zu den ihm vorgehaltenen Delikten gemacht habe.</w:t>
      </w:r>
    </w:p>
    <w:p>
      <w:r>
        <w:rPr>
          <w:b/>
        </w:rPr>
        <w:t>E. 4.2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4.3</w:t>
      </w:r>
    </w:p>
    <w:p>
      <w:r>
        <w:t>Entgegen der Auffassung des Beschwerdeführers lassen sich aus der Art der Begründung keine direkten Schlüsse auf ihr rechtliches Genügen ziehen. Massgebend ist allein, ob sie ihre Funktion erfüllt. Das kann auch eine knappe Begründung leisten. Die Vorinstanz legt verständlich dar, weshalb der Beschwerdeführer aus ausländerrechtlicher Sicht als Risikofaktor für die öffentliche Sicherheit und Ordnung betrachtet werden muss. Dass sie bezüglich der Straffälligkeit des Beschwerdeführers auf die erwähnten Strafregisterauszüge verwies, ist nicht zu beanstanden. Im Weiteren gilt es zu berücksichtigen, dass das Einreiseverbot zu den quantitativ häufigsten Anordnungen der schweizerischen Verwaltungspraxis zählt und das SEM als erstinstanzliche Behörde speditiv zu entscheiden hat. An die Begründungsdichte dürfen deshalb keine überspannten Anforderungen gestellt werden (vgl. Urteil des BVGer F-4156/2016 vom 8. Dezember 2017 E. 3.4 m.H.). Es war dem Beschwerdeführer denn auch ohne weiteres möglich, sachgerecht und vollständig gegen die vorinstanzliche Verfügung zu argumentieren. Eine Verletzung der Begründungspflicht liegt somit nicht vor.</w:t>
      </w:r>
    </w:p>
    <w:p>
      <w:r>
        <w:rPr>
          <w:b/>
        </w:rPr>
        <w:t>E. 5</w:t>
      </w:r>
    </w:p>
    <w:p>
      <w:r>
        <w:t>Der Beschwerdeführer ist russischer Staatsangehöriger mit einer deutschen Niederlassungsbewilligung und damit nicht Staatsangehöriger einer Vertragspartei des Freizügigkeitsabkommens (FZA, SR 0.142.112.681).</w:t>
      </w:r>
    </w:p>
    <w:p>
      <w:r>
        <w:rPr>
          <w:b/>
        </w:rPr>
        <w:t>E. 6.1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6.2</w:t>
      </w:r>
    </w:p>
    <w:p>
      <w:r>
        <w:t>Das in Art. 67 AIG geregelte Einreiseverbot ist keine Sanktion oder "Strafe", wie in der ergänzenden Beschwerdeschrift vom 20. Februar 2018 geltend gemacht wird,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VZAE).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w:t>
      </w:r>
    </w:p>
    <w:p>
      <w:r>
        <w:rPr>
          <w:b/>
        </w:rPr>
        <w:t>E. 7.1</w:t>
      </w:r>
    </w:p>
    <w:p>
      <w:r>
        <w:t>Die Vorinstanz begründete ihre Verfügung u.a. damit, der Beschwerdeführer habe in der Vergangenheit mehrfach zu Klagen Anlass gegeben, wobei sie in diesem Zusammenhang auf die erwähnten Strafregisterauszüge vom 15. Mai 2017 und 18. Mai 2017 verwies.</w:t>
      </w:r>
    </w:p>
    <w:p>
      <w:r>
        <w:rPr>
          <w:b/>
        </w:rPr>
        <w:t>E. 7.2</w:t>
      </w:r>
    </w:p>
    <w:p>
      <w:r>
        <w:t>Aus den Akten geht hervor, dass der Beschwerdeführer seit Jahren immer wieder straffällig geworden ist. Allein in Deutschland liegen zwischen 2011 bis 2015 Strafurteile wegen Körperverletzung, fahrlässiger Trunkenheit im Verkehr sowie unerlaubten Entfernens vom Unfallort in Tateinheit mit vorsätzlicher Trunkenheit im Verkehr, Fahrens ohne Fahrerlaubnis, Hehlerei sowie fahrlässiger Trunkenheit im Verkehr in Tateinheit mit vorsätzlichem Fahren ohne Fahrerlaubnis vor. Nachdem der Beschwerdeführer bereits 2007 auch in der Schweiz wegen grober Verletzung der Verkehrsregeln verurteilt worden war, wurde er am 2. März 2017 von der Staatsanwaltschaft B._______ wiederum schuldig befunden der groben Verkehrsregelverletzung durch Überschreiten der signalisierten Höchstgeschwindigkeit auf der Autobahn von mindestens 35 km/h, womit er erneut eine ernstliche Gefahr für die Sicherheit anderer hervorgerufen hat (vgl. Art. 90 Abs. 2 SVG [SR 741.01]).</w:t>
      </w:r>
    </w:p>
    <w:p>
      <w:r>
        <w:rPr>
          <w:b/>
        </w:rPr>
        <w:t>E. 7.3</w:t>
      </w:r>
    </w:p>
    <w:p>
      <w:r>
        <w:t>Durch sein strafbares Verhalten über einen langen Zeitraum hinweg hat der Beschwerdeführer klarerweise wiederholt und erheblich gegen die öffentliche Sicherheit und Ordnung im Sinne von Art. 67 Abs. 2 Bst. a AIG verstossen, was ohne weiteres die Verhängung einer Fernhaltemassnahme rechtfertigt. An dieser Einschätzung vermögen auch die teilweise bagatellisierenden Erklärungen des Beschwerdeführers nichts zu ändern.</w:t>
      </w:r>
    </w:p>
    <w:p>
      <w:r>
        <w:rPr>
          <w:b/>
        </w:rPr>
        <w:t>E. 8.1</w:t>
      </w:r>
    </w:p>
    <w:p>
      <w:r>
        <w:t>Es bleibt zu prüfen, ob die Massnahme in richtiger Ausübung des Ermessens ergangen und angemessen ist.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8.2</w:t>
      </w:r>
    </w:p>
    <w:p>
      <w:r>
        <w:t>Wie oben erwähnt, ist der Beschwerdeführer über eine lange Zeit hinweg in uneinsichtiger Weise immer wieder straffällig geworden. Trotz zahlreicher früherer Verurteilungen und Bestrafungen - namentlich wegen schwerwiegender Verstösse gegen das (deutsche) Strassenverkehrsgesetz - liess er sich auch in der Schweiz nicht von weiterer Delinquenz abhalten (vgl. den erwähnten Strafbefehl der Staatsanwaltschaft B._______ vom 2. März 2017). Die Vielzahl dieser SVG-Delikte im In- und Ausland zeugt von einer inakzeptablen Geringschätzung und Gleichgültigkeit gegenüber der deutschen und schweizerischen Rechtsordnung. Im Übrigen sind diese Delikte aufgrund des grossen Gefährdungspotenzials, welches dem Führen eines Motorfahrzeugs eigen ist, nicht zu verharmlosen. Angesichts der Unbelehrbarkeit des Beschwerdeführers muss diesbezüglich auch von einer zukünftigen Bedrohung der öffentlichen Sicherheit und Ordnung ausgegangen werden. Vor diesem Hintergrund besteht weiterhin ein nicht unerhebliches Risiko, dass der Betroffene in strafrechtlicher Hinsicht in frühere Verhaltensmuster verfällt und deshalb von einer nicht zu unterschätzenden Rückfallgefahr ausgegangen werden muss, weshalb er auch zum heutigen Zeitpunkt eine Gefahr für die öffentliche Sicherheit und Ordnung darstellt.</w:t>
      </w:r>
    </w:p>
    <w:p>
      <w:r>
        <w:rPr>
          <w:b/>
        </w:rPr>
        <w:t>E. 8.3</w:t>
      </w:r>
    </w:p>
    <w:p>
      <w:r>
        <w:t>Dem solchermassen begründeten öffentlichen Interesse am Einreiseverbot stellt der Beschwerdeführer eine damit einhergehende Beeinträchtigung seiner Beziehung zu seiner Lebenspartnerin in der Schweiz gegenüber. Diesbezüglich ist hervorzuheben, dass das Einreiseverbot diese Beziehung nicht - jedenfalls nicht in einer den Schutzbereich von Art. 8 EMRK betreffenden Weise - tangiert, lebte er doch mit seiner in D._______ wohnhaften Freundin zuvor nicht in einem gefestigten Konkubinat. Den Betroffenen ist es grundsätzlich zuzumuten, die Kontakte untereinander weiterhin mittels Telefon oder moderner Kommunikationsmittel (SMS, WhatsApp, Skype, Facebook usw.) zu pflegen oder durch Besuche der Lebenspartnerin in Deutschland. Ausserdem bestünde die Möglichkeit, mittels Gesuch die zeitweilige Suspension des Einreiseverbots zu beantragen (vgl. Art. 67 Abs. 5 AIG). Die Vorinstanz hat schliesslich darauf hingewiesen, dass nach erfolgter Eheschliessung und bewilligtem Familiennachzug die Fernhaltemassnahme ohnehin aufzuheben wäre. Auch die geltend gemachten beruflichen Einschränkungen sind zu relativieren, steht doch dem Beschwerdeführer für die Überführung der Autos von Deutschland nach Italien der Weg über Österreich offen, selbst wenn dies mit zeitlichem und finanziellem Zusatzaufwand verbunden wäre.</w:t>
      </w:r>
    </w:p>
    <w:p>
      <w:r>
        <w:rPr>
          <w:b/>
        </w:rPr>
        <w:t>E. 8.4</w:t>
      </w:r>
    </w:p>
    <w:p>
      <w:r>
        <w:t>Eine wertende Gewichtung der sich gegenüberstehenden Interessen führt das Bundesverwaltungsgericht zum Ergebnis, dass das auf drei Jahre befristete Einreiseverbot dem Grundsatz nach und in Bezug auf seine Dauer eine verhältnismässige und angemessene Massnahme zum Schutz der öffentlichen Sicherheit und Ordnung darstellt.</w:t>
      </w:r>
    </w:p>
    <w:p>
      <w:r>
        <w:rPr>
          <w:b/>
        </w:rPr>
        <w:t>E. 9</w:t>
      </w:r>
    </w:p>
    <w:p>
      <w:r>
        <w:t>Aus diesen Erwägungen ergibt sich, dass die angefochtene Verfügung im Lichte von Art. 49 VwVG nicht zu beanstanden ist. Die Beschwerde ist somit abzuweisen.</w:t>
      </w:r>
    </w:p>
    <w:p>
      <w:r>
        <w:rPr>
          <w:b/>
        </w:rPr>
        <w:t>E. 10</w:t>
      </w:r>
    </w:p>
    <w:p>
      <w:r>
        <w:t>Entsprechend dem Ausgang des Verfahrens wird der unterliegende Beschwerdeführer kostenpflichtig (vgl. Art. 63 Abs. 1 VwVG). Die Verfahrenskosten sind auf Fr. 1'000.-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