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F-3055/2020 vom 19. Juni 2020</w:t>
      </w:r>
    </w:p>
    <w:p>
      <w:r>
        <w:t>Bundesverwaltungsgericht, 2020-06-19, FR</w:t>
      </w:r>
    </w:p>
    <w:p>
      <w:r>
        <w:rPr>
          <w:b/>
        </w:rPr>
        <w:t xml:space="preserve">Quelle: </w:t>
      </w:r>
      <w:r>
        <w:t>https://mcp.opencaselaw.ch/entscheid/bvger_F-3055_2020</w:t>
      </w:r>
    </w:p>
    <w:p>
      <w:r>
        <w:t>FR: TAF F-3055/2020 du 19 juin 2020</w:t>
      </w:r>
    </w:p>
    <w:p>
      <w:r>
        <w:t>IT: TAF F-3055/2020 del 19 giugno 2020</w:t>
      </w:r>
    </w:p>
    <w:p>
      <w:pPr>
        <w:pStyle w:val="Heading2"/>
      </w:pPr>
      <w:r>
        <w:t>Regeste</w:t>
      </w:r>
    </w:p>
    <w:p>
      <w:r>
        <w:t>Asile (non-entrée en matière / procédure Dublin) et renvoi</w:t>
      </w:r>
    </w:p>
    <w:p>
      <w:pPr>
        <w:pStyle w:val="Heading2"/>
      </w:pPr>
      <w:r>
        <w:t>Erwägungen</w:t>
      </w:r>
    </w:p>
    <w:p>
      <w:r>
        <w:rPr>
          <w:b/>
        </w:rPr>
        <w:t>E. 8</w:t>
      </w:r>
    </w:p>
    <w:p>
      <w:r>
        <w:t>La Suède demeure dès lors l'Etat responsable de l'examen de la demande d'asile des recourants au sens du règlement Dublin III.</w:t>
      </w:r>
    </w:p>
    <w:p>
      <w:r>
        <w:rPr>
          <w:b/>
        </w:rPr>
        <w:t>E. 9</w:t>
      </w:r>
    </w:p>
    <w:p>
      <w:r>
        <w:t>Dans ces conditions, c'est à bon droit que le SEM n'est pas entré en matière sur la demande d'asile, en application de l'art. 31a al. 1 let. b LAsi, et qu'il a prononcé leur transfert de Suisse vers la Suède, en application de l'art. 44 LAsi, aucune exception à la règle générale du renvoi n'étant réalisée (cf. art. 32 OA 1).</w:t>
      </w:r>
    </w:p>
    <w:p>
      <w:r>
        <w:rPr>
          <w:b/>
        </w:rPr>
        <w:t>E. 10</w:t>
      </w:r>
    </w:p>
    <w:p>
      <w:r>
        <w:t>Au vu de ce qui précède, le recours doit être rejeté. Dans la mesure où il a été statué sur le fond, les requêtes formulées dans le recours tendant à la dispense du versement d'une avance sur les frais de procédure présumés et à l'octroi de l'effet suspensif sont sans objet.</w:t>
      </w:r>
    </w:p>
    <w:p>
      <w:r>
        <w:rPr>
          <w:b/>
        </w:rPr>
        <w:t>E. 11</w:t>
      </w:r>
    </w:p>
    <w:p>
      <w:r>
        <w:t>En vertu de l'art. 111a al. 1 LAsi, le Tribunal peut renoncer à un échange d'écritures.</w:t>
      </w:r>
    </w:p>
    <w:p>
      <w:r>
        <w:rPr>
          <w:b/>
        </w:rPr>
        <w:t>E. 12</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recourants ont déposé une demande d'assistance judiciaire partielle. Les conclusions du recours n'étant pas apparues d'emblée vouées à l'échec et les recourant étant indigents, la demande d'assistance judiciaire partielle (cf. art. 65 al. 1 PA) doit être admise et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