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F-3052/2017 vom 16. April 2018</w:t>
      </w:r>
    </w:p>
    <w:p>
      <w:r>
        <w:t>Bundesverwaltungsgericht, 2018-04-16, DE</w:t>
      </w:r>
    </w:p>
    <w:p>
      <w:r>
        <w:rPr>
          <w:b/>
        </w:rPr>
        <w:t xml:space="preserve">Quelle: </w:t>
      </w:r>
      <w:r>
        <w:t>https://mcp.opencaselaw.ch/entscheid/bvger_F-3052_2017</w:t>
      </w:r>
    </w:p>
    <w:p>
      <w:r>
        <w:t>FR: TAF F-3052/2017 du 16 avril 2018</w:t>
      </w:r>
    </w:p>
    <w:p>
      <w:r>
        <w:t>IT: TAF F-3052/2017 del 16 aprile 2018</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ist gemäss Art. 48 Abs. 1 VwVG zur Beschwerde legitimiert. Das Visum wurde zwar für den Februar 2018 beantragt, jedoch in genereller Form. Entsprechend sind die Sachurteilsvoraussetzungen grundsätzlich erfüllt, sodass auf die Beschwerde einzutreten ist (Art. 50 und Art. 52 VwVG).</w:t>
      </w:r>
    </w:p>
    <w:p>
      <w:r>
        <w:rPr>
          <w:b/>
        </w:rPr>
        <w:t>E. 1.3</w:t>
      </w:r>
    </w:p>
    <w:p>
      <w:r>
        <w:t>Das Bundesverwaltungsgericht entscheidet in der vorliegenden Angelegenheit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angefochtenen Verfügung liegt das Gesuch einer vietnamesischen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21.03.2001)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w:t>
      </w:r>
    </w:p>
    <w:p>
      <w:r>
        <w:rPr>
          <w:b/>
        </w:rPr>
        <w:t>E. 3.4</w:t>
      </w:r>
    </w:p>
    <w:p>
      <w:r>
        <w:t>Eine Gefahr für die öffentliche Ordnung im Sinne von Art. 6 Abs. 1 Bst. e SGK ist beispielsweise dann anzunehmen, wenn die drittstaatsangehörige Person nicht bereit ist, das Hoheitsgebiet des Schengen-Raums fristgerecht wieder zu verlassen (vgl. dazu Egli/Meyer, in: Caroni/Gächter/Thurnherr [Hrsg.], Stämpflis Handkommentar zum Bundesgesetz über die Ausländerinnen und Ausländer, 2010, Art. 5 N. 33). Die Behörden haben daher zu prüfen und die drittstaatsangehörige Person hat zu belegen, dass keine Gefahr einer rechtswidrigen Einwanderung oder einer nicht fristgerechten Ausreise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3.6</w:t>
      </w:r>
    </w:p>
    <w:p>
      <w:r>
        <w:t>Aufgrund ihrer Staatszugehörigkeit unterliegt die Gesuchstellerin der Visumspflicht (vgl. Anhang I zu der in E. 3.3 erwähnten Verordnung [EG] Nr. 539/2001 [zum vollständigen Quellennachweis vgl. Fussnote zu Art. 4 Abs. 1 VEV]).</w:t>
      </w:r>
    </w:p>
    <w:p>
      <w:r>
        <w:rPr>
          <w:b/>
        </w:rPr>
        <w:t>E. 4.1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sämtliche Umstände des konkreten Einzelfalles zu würdigen sind. Dabei sind einerseits die allgemeine Lage im Herkunftsland und andererseits die individuelle Situation der gesuchstellenden Person in die Beurteilung miteinzubeziehen.</w:t>
      </w:r>
    </w:p>
    <w:p>
      <w:r>
        <w:rPr>
          <w:b/>
        </w:rPr>
        <w:t>E. 4.2.1</w:t>
      </w:r>
    </w:p>
    <w:p>
      <w:r>
        <w:t>Die in Richtung Marktwirtschaft gehenden Wirtschaftsreformen Vietnams waren in den vergangenen knapp 30 Jahren äusserst erfolgreich. Das Land erlebte einen fulminanten wirtschaftlichen Aufschwung mit Wachstumsraten von zumeist 7 bis 8 Prozent. So verzeichnete Vietnam im Jahre 2017 ein Wirtschaftswachstum von 6,8 Prozent, derweil die Inflationsrate 4,4 Prozent betrug. Die grösste Herausforderung für die vietnamesische Volkswirtschaft ist indessen eine zu geringe Produktivität, namentlich verursacht durch eine unzureichende Berufsbildung sowie teils unproduktive Staatsbetriebe. Vietnam stieg vor knapp zehn Jahren zwar zu einem "Middle Income Country" auf; 2017 betrug das Bruttoinlandprodukt 2'300 USD pro Kopf. Allerdings ist das Volkseinkommen zwischen Stadt und Land sehr ungleich verteilt. Nach wie vor leben 60 % der Bevölkerung auf dem Land, erwirtschaften dort aber nur 19 % des Volkseinkommens (vgl. Website des deutschen Auswärtigen Amtes: www.auswaertiges-amt.de, Aussen- und Europapolitik &gt; Länderinformationen &gt; Vietnam, Wirtschaft, Stand: März 2018, abgerufen im April 2018).</w:t>
      </w:r>
    </w:p>
    <w:p>
      <w:r>
        <w:rPr>
          <w:b/>
        </w:rPr>
        <w:t>E. 4.2.2</w:t>
      </w:r>
    </w:p>
    <w:p>
      <w:r>
        <w:t>Vor diesem Hintergrund ist nicht zu beanstanden, dass die Vorinstanz das Risiko einer nicht fristgerechten Wiederausreise von Besuchern aus Vietnam grundsätzlich als hoch einschätzt.</w:t>
      </w:r>
    </w:p>
    <w:p>
      <w:r>
        <w:rPr>
          <w:b/>
        </w:rPr>
        <w:t>E. 4.3.1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4.3.2</w:t>
      </w:r>
    </w:p>
    <w:p>
      <w:r>
        <w:t>Bei der Gesuchstellerin handelt es sich um eine junge, ledige und kinderlose Frau. Gestützt auf ihre Angaben sowie diejenigen des Beschwerdeführers lebt sie bei ihrer Familie und arbeitet als assistierende Schneiderin (SEM-act. S. 40, 70). Belege für eine solche berufliche Tätigkeit lassen sich indes den Akten nicht entnehmen. Insbesondere wurden in dieser Hinsicht weder ein Arbeitsvertrag noch allfällige Lohnausweise eingereicht. Über die persönlichen und familiären Verhältnisse der Gesuchstellerin ist sodann nichts Näheres bekannt. In den Akten befindet sich einzig das "Family Record Book" vom 16.September 2011, aufgrund dessen die Gesuchstellerin zumindest vor mehr als fünf Jahren bei ihrer Familie in X._______ gelebt hatte (SEM-act. S. 27). Unter diesen Umständen ist nicht davon auszugehen, aufgrund der persönlichen Situation der Eingeladenen seien Verpflichtungen oder gar Abhängigkeiten vorhanden, die besondere Gewähr für eine Rückkehr ins Heimatland bieten könnten. Dies umso weniger, als auch der Beschwerdeführer keine derartigen Bindungen geltend macht.</w:t>
      </w:r>
    </w:p>
    <w:p>
      <w:r>
        <w:rPr>
          <w:b/>
        </w:rPr>
        <w:t>E. 4.4</w:t>
      </w:r>
    </w:p>
    <w:p>
      <w:r>
        <w:t>An diesem Ergebnis vermag denn auch die Tatsache, dass der Beschwerdeführer die rechtzeitige Rückkehr der Gesuchstellerin zusichert, nichts zu ändern. In seiner Eigenschaft als Gastgeber kann dieser zwar für gewisse finanzielle Risiken im Zusammenhang mit dem Besuchsaufenthalt Garantie leisten, nicht aber - mangels rechtlicher und faktischer Durchsetzbarkeit - für ein bestimmtes Verhalten seines Gastes (vgl. BVGE 2009/27 E. 9 mit Hinweisen).</w:t>
      </w:r>
    </w:p>
    <w:p>
      <w:r>
        <w:rPr>
          <w:b/>
        </w:rPr>
        <w:t>E. 4.5</w:t>
      </w:r>
    </w:p>
    <w:p>
      <w:r>
        <w:t>Nach dem Gesagten ist die Schlussfolgerung der Vorinstanz, wonach die Wiederausreise der Gesuchstellerin angesichts der allgemeinen Lage Vietnams und ihrer individuellen Situation nicht als gesichert angesehen werden könne, nicht zu beanstanden. Mithin fehlt es an einer unabdingbaren Voraussetzung für die Erteilung eines einheitlichen Visums für den gesamten Schengen-Raum. Sodann sind auch keine Gründe für die Ausstellung eines Visums mit räumlich beschränkter Gültigkeit ersichtlich (vgl. E. 3.5). Der an sich verständliche Wunsch des Beschwerdeführers, der Gesuchstellerin die Schweiz zeigen bzw. diese seiner Familien und seinen Freunden vorstellen zu können, um sie mit den hiesigen Gepflogenheiten bekannt zu machen, hat demnach in den Hintergrund zu treten. Aufgrund der vorgenommenen Beurteilung bleibt es indessen den Betroffenen unbenommen und zumutbar, sich vorderhand weiterhin im Ausland zu treffen.</w:t>
      </w:r>
    </w:p>
    <w:p>
      <w:r>
        <w:rPr>
          <w:b/>
        </w:rPr>
        <w:t>E. 5</w:t>
      </w:r>
    </w:p>
    <w:p>
      <w:r>
        <w:t>Aus diesen Darlegungen folgt, dass die angefochtene Verfügung im Lichte von Art. 49 VwVG nicht zu beanstanden ist. Die Beschwerde ist daher abzuweisen.</w:t>
      </w:r>
    </w:p>
    <w:p>
      <w:r>
        <w:rPr>
          <w:b/>
        </w:rPr>
        <w:t>E. 6</w:t>
      </w:r>
    </w:p>
    <w:p>
      <w:r>
        <w:t>Bei diesem Ausgang des Verfahrens sind die Kosten dem Beschwerdeführer aufzuerlegen (vgl. Art. 63 Abs. 1 i.V.m. Art. 1 und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