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F-304/2021 vom 1. März 2023</w:t>
      </w:r>
    </w:p>
    <w:p>
      <w:r>
        <w:t>Bundesverwaltungsgericht, 2023-03-01, DE</w:t>
      </w:r>
    </w:p>
    <w:p>
      <w:r>
        <w:rPr>
          <w:b/>
        </w:rPr>
        <w:t xml:space="preserve">Quelle: </w:t>
      </w:r>
      <w:r>
        <w:t>https://mcp.opencaselaw.ch/entscheid/bvger_F-304_2021</w:t>
      </w:r>
    </w:p>
    <w:p>
      <w:r>
        <w:t>FR: TAF F-304/2021 du 1 mars 2023</w:t>
      </w:r>
    </w:p>
    <w:p>
      <w:r>
        <w:t>IT: TAF F-304/2021 del 1 marzo 2023</w:t>
      </w:r>
    </w:p>
    <w:p>
      <w:pPr>
        <w:pStyle w:val="Heading2"/>
      </w:pPr>
      <w:r>
        <w:t>Regeste</w:t>
      </w:r>
    </w:p>
    <w:p>
      <w:r>
        <w:t>Amtshilfe</w:t>
      </w:r>
    </w:p>
    <w:p>
      <w:pPr>
        <w:pStyle w:val="Heading2"/>
      </w:pPr>
      <w:r>
        <w:t>Erwägungen</w:t>
      </w:r>
    </w:p>
    <w:p>
      <w:r>
        <w:rPr>
          <w:b/>
        </w:rPr>
        <w:t>E. 1</w:t>
      </w:r>
    </w:p>
    <w:p>
      <w:r>
        <w:t>Das Bundesverwaltungsgericht hat die Beschwerden unter den Referenznummern F-304/2021 (vorinstanzliche Verfahren Ref-Nr. [...]) und F-305/2021 (vorinstanzliche Verfahren Ref-Nr. [...]) erfasst. Den angefochtenen Schlussverfügungen liegt dasselbe Amtshilfeersuchen zugrunde und es stellen sich dieselben rechtlichen Fragen. Aufgrund des engen sachlichen Zusammenhangs rechtfertigt es sich, die beiden Beschwerdeverfahren zu vereinigen und darüber in einem Urteil zu befinden (vgl. BGE 133 IV 215 E. 1; Urteil des BVGer A-197/2018, A-200/2018 vom 2. Mai 2018 E. 1.1).</w:t>
      </w:r>
    </w:p>
    <w:p>
      <w:r>
        <w:rPr>
          <w:b/>
        </w:rPr>
        <w:t>E. 2.1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2.2</w:t>
      </w:r>
    </w:p>
    <w:p>
      <w:r>
        <w:t>Das Rechtsmittelverfahren vor dem Bundesverwaltungsgericht richtet sich nach dem VwVG, soweit das VGG nichts anderes bestimmt (Art. 37 VGG).</w:t>
      </w:r>
    </w:p>
    <w:p>
      <w:r>
        <w:rPr>
          <w:b/>
        </w:rPr>
        <w:t>E. 2.3</w:t>
      </w:r>
    </w:p>
    <w:p>
      <w:r>
        <w:t>Die Beschwerdeführerin ist zur Erhebung der Beschwerden legitimiert (Art. 19 Abs. 2 StAhiG, Art. 48 Abs. 1 VwVG). Auf die frist- und formgerecht eingereichten Beschwerden ist einzutreten (Art. 50 Abs. 1 VwVG; Art. 52 Abs. 1 VwVG).</w:t>
      </w:r>
    </w:p>
    <w:p>
      <w:r>
        <w:rPr>
          <w:b/>
        </w:rPr>
        <w:t>E. 3.1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3.2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3.3</w:t>
      </w:r>
    </w:p>
    <w:p>
      <w:r>
        <w:t>Die streitigen Schlussverfügungen beziehen sich auf das Listenersuchen der DGFP, welches durch das Bundesgericht mit Leitentscheid vom 26. Juli 2019 - gefällt in öffentlicher Beratung und auszugsweise amtlich publiziert als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 gelassen hat (vgl. Urteile des BVGer A-3045/2020, A-3047/2020 und A-3048/2020, jeweils vom 29. März 2021 E. 1.4.3, je mit Hinweisen).</w:t>
      </w:r>
    </w:p>
    <w:p>
      <w:r>
        <w:rPr>
          <w:b/>
        </w:rPr>
        <w:t>E. 4.1</w:t>
      </w:r>
    </w:p>
    <w:p>
      <w:r>
        <w:t>Die Beschwerdeführerin rügt eine Verletzung des rechtlichen Gehörs und des Untersuchungsgrundsatzes. Die Vorinstanz habe in den angefochtenen Verfügungen Textbausteine verwendet und sei auf die spezifischen Sachverhaltselemente des vorliegenden Falls und auf ihre Stellungnahmen nicht eingegangen. Es handle sich um im Amtshilferecht unzulässige Massenverfügungen, welche den Besonderheiten des Einzelfalls nicht Rechnung tragen würden.</w:t>
      </w:r>
    </w:p>
    <w:p>
      <w:r>
        <w:rPr>
          <w:b/>
        </w:rPr>
        <w:t>E. 4.2</w:t>
      </w:r>
    </w:p>
    <w:p>
      <w:r>
        <w:t>Aus dem Anspruch auf rechtliches Gehör (Art. 29 Abs. 2 BV) folgt unter anderem die grundsätzliche Pflicht der Behörden, ihren Entscheid zu begründen. Die Begründung muss so abgefasst sein, dass der Betroffene den Entscheid gegebenenfalls sachgerecht anfechten kann. Sie muss kurz die wesentlichen Überlegungen nennen, von denen sich die Behörde hat leiten lassen und auf die sich ihr Entscheid stützt. Nicht erforderlich ist hingegen, dass sich der Entscheid mit allen Parteistandpunkten einlässlich auseinandersetzt und jedes einzelne Vorbringen ausdrücklich widerlegt (vgl. BGE 142 III 433 E. 4.3.2; 141 III 28 E. 3.2.4).</w:t>
      </w:r>
    </w:p>
    <w:p>
      <w:r>
        <w:rPr>
          <w:b/>
        </w:rPr>
        <w:t>E. 4.3</w:t>
      </w:r>
    </w:p>
    <w:p>
      <w:r>
        <w:t>Der Untersuchungsgrundsatz betrifft die Abklärungspflicht der Behörde. Der entsprechende Beschwerdegrund erscheint in der Variante «unvollständige Feststellung des rechtserheblichen Sachverhaltes» in Art. 49 Bst. b VwVG. Er ist erfüllt, wenn die Behörde den Sachverhalt nicht von Amtes wegen abgeklärt, oder nicht alle für den Entscheid wesentlichen Sachumstände berücksichtigt hat (vgl. Benjamin Schindler, in: Auer/Müller/Schindler [Hrsg.], Kommentar zum VwVG, 2. Aufl. 2019, Art. 49 N. 29).</w:t>
      </w:r>
    </w:p>
    <w:p>
      <w:r>
        <w:rPr>
          <w:b/>
        </w:rPr>
        <w:t>E. 4.4</w:t>
      </w:r>
    </w:p>
    <w:p>
      <w:r>
        <w:t>Die Vorinstanz hält den Ausführungen der Beschwerdeführerin zu Recht entgegen, dass die wesentlichen Punkte aus deren Stellungnahmen in den Schlussverfügungen berücksichtigt worden seien. Das gelte insbesondere für das Argument der fehlenden Erheblichkeit der zu übermittelnden Informationen. Tatsächlich behandelt die Vorinstanz diese Thematik in Ziff. 4 der angefochtenen Verfügung eingehend. Die Tatsache, dass sie dies vorab in allgemeiner Weise tut, ist dem Umstand geschuldet, dass das Bundesgericht in Bezug auf das - auch dem vorliegenden Sachverhalt zugrunde liegende - Listenersuchen Frankreichs vom 11. Mai 2016 im Rahmen von BGE 146 II 150 festgestellt hat, es liege keine «fishing expedition» vor und die voraussichtliche Erheblichkeit der ersuchten Informationen sei zu bejahen (vgl. nachstehend E. 8). Auf dieses höchstrichterliche Urteil musste sich die Vorinstanz berufen und war aufgrund der dortigen Feststellungen nicht gehalten, eingehendere Ausführungen zu den Parteistandpunkten zu machen. Auch auf das Vorbringen der Beschwerdeführerin, sie habe vor der von der DGFP ersuchten Zeitperiode ihren Domizilwechsel der UBS gemeldet, ist die Vorinstanz in Ziff. 8bis (Verfahren F-305/2021) bzw. Ziff. 8ter (Verfahren F-304/2021) der angefochtenen Verfügung in rechtsgenüglicher Weise eingegangen. Eine Verletzung des rechtlichen Gehörs liegt somit nicht vor. Auch ist nicht ersichtlich und wird von der Beschwerdeführerin nicht dargelegt, welche weiteren Abklärungen die Vorinstanz hätte vornehmen sollen. Eine Verletzung des Untersuchungsgrundsatzes ist nicht erkennbar.</w:t>
      </w:r>
    </w:p>
    <w:p>
      <w:r>
        <w:rPr>
          <w:b/>
        </w:rPr>
        <w:t>E. 5.1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5.2</w:t>
      </w:r>
    </w:p>
    <w:p>
      <w:r>
        <w:t>Das Amtshilfeersuchen der DGFP stützt sich auf Art. 28 DBA CH-FR (in der hier anwendbaren Fassung gemäss Art. 7 des Zusatzabkommens vom 27. August 2009 [AS 2010 5683; nachfolgend: Zusatzabkommen 2009]) und auf Ziff. XI des im DBA CH-FR (SR 0.672.934.91) integrierten Zusatzprotokolls (SR 0.672.934.91)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5.2.1</w:t>
      </w:r>
    </w:p>
    <w:p>
      <w:r>
        <w:t>Gemäss Art. 11 Abs. 3 des Zusatzabkommens 2009 findet das Zusatzabkommen auf Informationsbegehren betreffend Kalender- oder Geschäftsjahre Anwendung, die ab dem 1. Januar nach der Unterzeichnung dieses Zusatzabkommens beginnen. Die zitierte Fassung von Art. 28 DBA CH-FR ist somit anwendbar auf Amtshilfeersuchen, welche die Kalender- oder Geschäftsjahre ab 1. Januar 2010 betreffen.</w:t>
      </w:r>
    </w:p>
    <w:p>
      <w:r>
        <w:rPr>
          <w:b/>
        </w:rPr>
        <w:t>E. 5.2.2</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sondern anhand bekannter Banknummern identifiziert werden (BGE 146 II 150 E. 5.6).</w:t>
      </w:r>
    </w:p>
    <w:p>
      <w:r>
        <w:rPr>
          <w:b/>
        </w:rPr>
        <w:t>E. 6.1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6.2</w:t>
      </w:r>
    </w:p>
    <w:p>
      <w:r>
        <w:t>Das Bundesgericht hat in BGE 146 II 150 das Amtshilfeersuchen Frankreichs vom 11. Mai 2016 für zulässig erklärt, womit es implizit auch die Voraussetzungen von Ziff. XI Abs. 3 des Zusatzprotokolls als erfüllt erachtete. Dies wird von der Beschwerdeführerin nicht bestritten.</w:t>
      </w:r>
    </w:p>
    <w:p>
      <w:r>
        <w:rPr>
          <w:b/>
        </w:rPr>
        <w:t>E. 7.1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Abs. 2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7.2</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A-1562/2018 E. 2.5). Auf diesem Vertrauen gründet letztlich das ganze Amtshilfeverfahren (vgl. statt vieler: Urteil des BVGer A-4192/2020, A-4194/2020, A-4196/2020 vom 25. März 2021 E. 2.5.1).</w:t>
      </w:r>
    </w:p>
    <w:p>
      <w:r>
        <w:rPr>
          <w:b/>
        </w:rPr>
        <w:t>E. 8.1</w:t>
      </w:r>
    </w:p>
    <w:p>
      <w:r>
        <w:t>Die Beschwerdeführerin führt an, die Vorinstanz stützte sich auf einen nachweislich inhaltlich falschen Domizilcode der UBS. Sie habe ihren Wohnsitz in Frankreich aufgegeben und ihr dort gelegenes Grundeigentum verkauft. Seit (...) 2009 sei sie weder beschränkt noch unbeschränkt in Frankreich steuerpflichtig. Entsprechend seien die ersuchten Informationen nicht voraussichtlich erheblich. Es handle sich um einen rechtswidrigen Akt durch ein örtlich, sachlich und funktional (gemeint: funktionell) unzuständiges Gemeinwesen, im besten Fall um eine unzulässige «fishing expedition». Die Anwendungsvoraussetzungen des DBA CH-FR seien mangels grenzüberschreitenden Sachverhalts nicht gegeben. Auch beziehe sich das Ersuchen auf einen Zeitraum, der nicht vom zeitlichen Anwendungsbereich von Ziff. XI Abs. 3 Bst. a des Zusatzprotokolls erfasst sei, da die Steuerpflicht der Beschwerdeführerin in Frankreich im Jahr 2009 geendet habe.</w:t>
      </w:r>
    </w:p>
    <w:p>
      <w:r>
        <w:rPr>
          <w:b/>
        </w:rPr>
        <w:t>E. 8.2</w:t>
      </w:r>
    </w:p>
    <w:p>
      <w:r>
        <w:t>Das Bundesgericht hat das Amtshilfeersuchen Frankreichs vom 11. Mai 2016 im Rahmen von BGE 146 II 150 beurteilt und für zulässig erachtet (Sachverhalt Bst. E.c). Diese Rechtsprechung ist für das vorliegende Verfahren von präjudizieller Bedeutung. Dementsprechend bleibt für das Bundesverwaltungsgericht grundsätzlich kein Raum, die Amtshilfe in Abweichung zu den Erwägungen des Bundesgerichts zu verweigern (vgl. E. 2.3). Zu prüfen sind nunmehr einzig individuelle Vorbringen für eine Amtshilfeverweigerung. Zwar ist aufgrund der eingereichten Unterlagen nicht auszuschliessen, dass die Beschwerdeführerin ihren steuerrechtlichen Wohnsitz im fraglichen Besteuerungszeitraum von 2010 bis 2015 nicht in Frankreich gehabt hat. Sie vermag daraus jedoch nichts zu ihren Gunsten abzuleiten: Indem das Bundesgericht das Amtshilfeersuchen vom 11. Mai 2016 als zulässig beurteilt hat, hat es implizit auch den Domizil-Code als hinreichenden Anknüpfungspunkt für eine mögliche Steuerpflicht in Frankreich (für die Jahre 2010 bis 2015) qualifiziert (vgl. BGE 146 II 150 E. 6.3). Die Beschwerdeführerin beziehungsweise ihre individuelle Banknummer befand sich unbestrittenermassen auf den UBS-Listen - die nota bene die Jahre 2006 und 2008 betreffen, während welcher die Beschwerdeführerin unbestrittenermassen in Frankreich steuerpflichtig war - und zwar in Verbindung mit dem Domizil-Code für Frankreich. Entgegen ihrer Ansicht ist es im Rahmen des Amtshilfeverfahrens nicht Aufgabe der Schweizer Behörden zu prüfen, ob nach französischem Recht eine steuerliche Ansässigkeit in Frankreich besteht. Das gilt entgegen der Auffassung der Beschwerdeführerin auch in einer Konstellation wie der vorliegenden, in welcher sie eine unbeschränkte Steuerpflicht in der Schweiz geltend macht (vgl. BGE 145 II 112 E. 2.2.2; Urteil des BGer 2C_805/2018 vom 23. August 2019 E. 4.5; Urteile des BVGer A-6532/2020 vom 21. Dezember 2021 E. 5.2; A-5662/2020 vom 10. Mai 2021 E. 5.1.3; A-1562/2018 vom 3. August 2020 E. 4.2). Eine kantonale Bestätigung des Steuerdomizils vermag im Übrigen entgegen der Ansicht der Beschwerdeführerin eine Steuerpflicht an einem anderen Ort beziehungsweise in einem anderen Land nicht auszuschliessen. Aus dem Gesagten folgt, dass ein hinreichender Anknüpfungspunkt für eine mögliche Steuerpflicht in Frankreich für die Jahre 2010 bis 2015 gegeben ist. Die Beschwerdeführerin ist mit ihren Einwänden diesbezüglich auf das französische Steuerverfahren zu verweisen (vgl. Urteil des BVGer A-1562/2018 vom 3. August 2020 E. 4.2). Folglich erweist sich auch die Rüge, wonach es sich beim Amtshilfeersuchen um eine «fishing expedition» handle und es an der voraussichtlichen Erheblichkeit der Daten mangle, als offensichtlich unbegründet (s. hierzu BGE 146 II 150 E. 6).</w:t>
      </w:r>
    </w:p>
    <w:p>
      <w:r>
        <w:rPr>
          <w:b/>
        </w:rPr>
        <w:t>E. 9.1</w:t>
      </w:r>
    </w:p>
    <w:p>
      <w:r>
        <w:t>Die Beschwerdeführerin macht geltend, die Übermittlung von privaten Informationen und Dokumenten verstosse gegen den Anspruch auf Schutz der Privatsphäre gemäss Art. 13 BV, sei unverhältnismässig und verletze Art. 6 DSG (SR 235.1).</w:t>
      </w:r>
    </w:p>
    <w:p>
      <w:r>
        <w:rPr>
          <w:b/>
        </w:rPr>
        <w:t>E. 9.2</w:t>
      </w:r>
    </w:p>
    <w:p>
      <w:r>
        <w:t>Einleitend gilt es festzuhalten, dass die Amtshilfebestimmungen, um den Eingriff in die von Art. 13 BV garantierte Privatsphäre der betroffenen Personen so mild wie möglich zu halten, jeweils voraussetzen, dass die ersuchten Informationen für den vom ersuchten Staat verfolgten Steuerzweck «voraussichtlich erheblich» (Art. 28 Abs. 1 DBA CH-FR) sind (BGE 147 II 13 E. 3.4.2). Diese Voraussetzungen sind - wie bereits dargelegt (E. 4.4 und 8.2) - erfüllt. Zudem hat bereits der Europäische Gerichtshof für Menschenrechte im Zusammenhang mit dem Amtshilfeverfahren mit den USA in seinem Urteil «G.S.B. gegen die Schweiz» 28601/11 vom 22. Dezember 2015 eine Verletzung des Rechts auf Achtung des Privat- und Familienlebens gemäss Art. 8 EMRK einstimmig verneint. Art. 13 BV geht bezüglich der vorliegend relevanten Bereiche nicht über Art. 8 EMRK hinaus. Eine Verletzung von Art. 13 BV liegt nicht vor. Der datenschutzrechtliche Aspekt wurde bereits in anderen, ähnlichen Verfahren vorgebracht und höchstrichterlich beurteilt. Das Bundesgericht hat die Anwendung der datenschutzrechtlichen Bestimmungen nach DSG im internationalen Amtshilfeverfahren in Steuersachen grundsätzlich bejaht (Urteil des BGer 2C_726/2018 vom 14. Oktober 2019 E. 3.3). Jedoch werden die Vorschriften des DSG verdrängt, soweit das anwendbare DBA sowie das StAhiG und die Steueramtshilfeverordnung selbst datenschutzrechtliche Bestimmungen enthalten (Vorrang des Völkerrechts sowie des Spezialgesetzes; BGE 147 II 13 E. 3.4.2; Urteile 2C_726/2018 E. 3.3, 2C_619/2018 E. 4.2 und 4.4; betreffend Dritte: BGE 146 I 172 E. 7.2 und 7.4). Eine solche Spezialbestimmung ist mit Art. 28 DBA CH-FR gegeben und geht insoweit den Bestimmungen des DSG vor. Vor diesem Hintergrund erweist sich auch die Rüge, die Übermittlung der Daten wäre unverhältnismässig, als unbegründet. Die erforderliche Abwägung der Interessen des ersuchenden Staats an der Klärung der steuerlichen Verhältnisse gegenüber den Geheimhaltungsinteressen einer steuerpflichtigen Person ist im Abkommen bereits erfolgt, so dass diesbezüglich im Einzelfall kein Spielraum besteht.</w:t>
      </w:r>
    </w:p>
    <w:p>
      <w:r>
        <w:rPr>
          <w:b/>
        </w:rPr>
        <w:t>E. 10</w:t>
      </w:r>
    </w:p>
    <w:p>
      <w:r>
        <w:t>Nach dem Gesagten sind die Voraussetzungen für die in den Schlussverfügungen vom 21. Dezember 2020 vorgesehene Amtshilfeleistung erfüllt. Die Beschwerden sind abzuweisen.</w:t>
      </w:r>
    </w:p>
    <w:p>
      <w:r>
        <w:rPr>
          <w:b/>
        </w:rPr>
        <w:t>E. 11.1</w:t>
      </w:r>
    </w:p>
    <w:p>
      <w:r>
        <w:t>Bei diesem Ausgang des Verfahrens hat die Beschwerdeführerin die auf Fr. 8'000.- festzusetzenden Verfahrenskosten zu tragen (Art. 63 Abs. 1 VwVG und Art. 2 Abs. 1 in Verbindung mit Art. 4 des Reglements vom 21. Februar 2008 über die Kosten und Entschädigungen vor dem Bundesverwaltungsgericht [VGKE, SR 173.320.2]). Diese werden mit den von ihr geleisteten Kostenvorschüssen im entsprechenden Umfang verrechnet. Der Überschuss von Fr. 2'000.- ist der Beschwerdeführerin nach Eintritt der Rechtskraft dieses Urteils zurückzuerstatten.</w:t>
      </w:r>
    </w:p>
    <w:p>
      <w:r>
        <w:rPr>
          <w:b/>
        </w:rPr>
        <w:t>E. 11.2</w:t>
      </w:r>
    </w:p>
    <w:p>
      <w:r>
        <w:t>Der unterliegenden Beschwerdeführerin ist keine Parteientschädigung zuzusprechen (Art. 64 Abs. 1 VwVG e contrario und Art. 7 Abs. 1 VGKE e contrario).</w:t>
      </w:r>
    </w:p>
    <w:p>
      <w:r>
        <w:rPr>
          <w:b/>
        </w:rPr>
        <w:t>E. 12</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83 Bst. h,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