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F-3046/2019 vom 26. September 2019</w:t>
      </w:r>
    </w:p>
    <w:p>
      <w:r>
        <w:t>Bundesverwaltungsgericht, 2019-09-26, DE</w:t>
      </w:r>
    </w:p>
    <w:p>
      <w:r>
        <w:rPr>
          <w:b/>
        </w:rPr>
        <w:t xml:space="preserve">Quelle: </w:t>
      </w:r>
      <w:r>
        <w:t>https://mcp.opencaselaw.ch/entscheid/bvger_F-3046_2019</w:t>
      </w:r>
    </w:p>
    <w:p>
      <w:r>
        <w:t>FR: TAF F-3046/2019 du 26 septembre 2019</w:t>
      </w:r>
    </w:p>
    <w:p>
      <w:r>
        <w:t>IT: TAF F-3046/2019 del 26 settembre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Der Beschwerdeführer rügt zunächst eine Verletzung des Untersuchungsgrundsatzes. Er macht geltend, er habe im Rahmen des Dublin-Gesprächs vom 20. Mai 2019 dargelegt, dass er in Libyen gefoltert worden sei und seither psychische Probleme habe. Er leide zudem unter Magenproblemen und erhöhtem Speichelfluss. Dennoch habe das SEM keine weiteren Abklärungen zu seinem Gesundheitszustand unternommen. Indem es die italienischen Behörden in der Anfrage vom 20. Mai 2019 nicht über die aktenkundigen gesundheitlichen Probleme des Beschwerdeführers informiert habe, habe es ferner die damit verbundenen formellen Anforderungen nicht erfüllt.</w:t>
      </w:r>
    </w:p>
    <w:p>
      <w:r>
        <w:rPr>
          <w:b/>
        </w:rPr>
        <w:t>E. 3.2</w:t>
      </w:r>
    </w:p>
    <w:p>
      <w:r>
        <w:t>Aus dem bereits erwähnten Dublin-Gespräch ergibt sich, dass der Beschwerdeführer - neben den erwähnten gesundheitlichen Problemen - ausdrücklich erklärt hat, es gehe ihm grundsätzlich gut. Er hob ausserdem hervor, dass er in Italien medizinische Hilfe erhalten habe, beklagte aber in diesem Zusammenhang Nebenwirkungen durch die dort erhaltenen Medikamente. In der Schweiz habe er bisher lediglich Paracetamol eingenommen (vgl. Sachverhalt Bst. C). Vor diesem Hintergrund ist nicht ersichtlich, inwiefern vor Erlass der Verfügung zwingend medizinische Abklärungen hätten stattfinden müssen. In der Beschwerde wird denn auch nicht vorgebracht, dass eine medizinische Diagnose gestellt worden und eine akut notwendige Behandlung durchzuführen wäre. Des Weiteren geht aus den vorinstanzlichen Akten hervor, dass das SEM Informationen über den Gesundheitszustand des Beschwerdeführers eingeholt hat. Auch ergibt sich aus der Vernehmlassung vom 19. August 2019, dass dem SEM der Austrittsbericht vorlag (vgl. BVGer-act. 6). Nach dem Gesagten können den Akten keine Hinweise entnommen werden, die eine ungenügende Abklärung des rechtserheblichen Sachverhalts begründen würden.</w:t>
      </w:r>
    </w:p>
    <w:p>
      <w:r>
        <w:rPr>
          <w:b/>
        </w:rPr>
        <w:t>E. 3.3</w:t>
      </w:r>
    </w:p>
    <w:p>
      <w:r>
        <w:t>Weiter ist auf die Rüge des Beschwerdeführers einzugehen, wonach das Übernahmeersuchen der Vorinstanz an Italien vom 20. Mai 2019 nicht alle notwendigen Angaben enthalte. So habe die Vorinstanz nicht angegeben, dass er über gesundheitliche Beschwerden verfüge.</w:t>
      </w:r>
    </w:p>
    <w:p>
      <w:r>
        <w:rPr>
          <w:b/>
        </w:rPr>
        <w:t>E. 3.4</w:t>
      </w:r>
    </w:p>
    <w:p>
      <w:r>
        <w:t>Das Bundesverwaltungsgericht hat bereits im Urteil D-1787/2013 vom 8. August 2013 E. 5 (bezüglich Art. 17 Abs. 3 Dublin-II-VO) festgehalten, dass das mit dem Formblatt gestellte Übernahmeersuchen alle Informationen enthalten müsse, anhand derer die Behörden des ersuchten Staats prüfen können, ob ihr Staat gemäss den in der Verordnung definierten Kriterien zuständig ist. Dies gilt auch in Bezug auf Art. 23 Abs. 4 Dublin-III-VO (vgl. Urteil D-6935/2016 vom 24. Januar 2017 E. 5.3.2 mit Hinweisen auf weitere Urteile).</w:t>
      </w:r>
    </w:p>
    <w:p>
      <w:r>
        <w:rPr>
          <w:b/>
        </w:rPr>
        <w:t>E. 3.5</w:t>
      </w:r>
    </w:p>
    <w:p>
      <w:r>
        <w:t>Im vorliegenden Fall waren dem SEM im Zeitpunkt des Aufnahmegesuchs am 20. Mai 2019 keine grösseren gesundheitlichen Beschwerden bekannt, zumal der Beschwerdeführer anlässlich des am gleichen Tag erfolgten Dublin-Gesprächs explizit ausgeführt hat, es gehe ihm grundsätzlich gut bzw. er habe in Italien Zugang zu medizinischer Hilfe erhalten (vgl. E. 3.1). Infolgedessen war die Vorinstanz nicht verpflichtet, die italienischen Behörden im Nachgang zum Übernahmeersuchen über gesundheitliche Probleme des Beschwerdeführers zu informieren. Sollte sich im Zeitpunkt der Überstellung an Italien im Zusammenhang mit den zwischenzeitlich diagnostizierten und teilweise behandelten gesundheitlichen Problemen des Beschwerdeführers die Notwendigkeit einer (nicht akuten) medizinischen Behandlung in der Zukunft ergeben, haben die schweizerischen Behörden, die mit dem Vollzug der angefochtenen Verfügung beauftragt sind, die italienischen Behörden vorgängig in geeigneter Weise über die spezifischen medizinischen Umstände zu informieren (vgl. Art. 31 f. Dublin-III-VO).</w:t>
      </w:r>
    </w:p>
    <w:p>
      <w:r>
        <w:rPr>
          <w:b/>
        </w:rPr>
        <w:t>E. 3.6</w:t>
      </w:r>
    </w:p>
    <w:p>
      <w:r>
        <w:t>Die formellen Rügen erweisen sich damit als unbegründet, weshalb keine Veranlassung besteht, die Sache aus formellen Gründen aufzuheben und an die Vorinstanz zurückzuweisen. Das entsprechende Rechtsbegehren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4.4</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4.5</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wiederaufzunehmen (Art. 18 Abs. 1 Bst. b Dublin-III-VO).</w:t>
      </w:r>
    </w:p>
    <w:p>
      <w:r>
        <w:rPr>
          <w:b/>
        </w:rPr>
        <w:t>E. 4.6</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5.1</w:t>
      </w:r>
    </w:p>
    <w:p>
      <w:r>
        <w:t>Die Dublin-III-VO räumt den Schutzsuchenden grundsätzlich kein Recht ein, den ihren Antrag prüfenden Staat selber auszuwählen (vgl. auch BVGE 2010/45 E. 8.3). Ein Abgleich der Fingerabdrücke des Beschwerdeführers mit der "Eurodac"-Datenbank ergab, dass dieser am 29. August 2017 in Italien ein Asylgesuch eingereicht hatte. Das SEM ersuchte deshalb die italienischen Behörden am 20. Mai 2019 um Übernahme des Beschwerdeführers gestützt auf Art. 18 Abs. 1 Bst. b Dublin-III-VO. Die italienischen Behörden liessen das Übernahmeersuchen innert der in Art. 25 Abs. 1 Dublin-III-VO vorgesehenen Frist unbeantwortet, womit sie die Zuständigkeit Italiens implizit anerkannten (Art. 25 Abs. 2 Dublin-III-VO). Die grundsätzliche Zuständigkeit Italiens ist somit gegeben. Dies wird vom Beschwerdeführer auch nicht bestritten.</w:t>
      </w:r>
    </w:p>
    <w:p>
      <w:r>
        <w:rPr>
          <w:b/>
        </w:rPr>
        <w:t>E. 5.2</w:t>
      </w:r>
    </w:p>
    <w:p>
      <w:r>
        <w:t>Im Lichte von Art. 3 Abs. 2 Dublin-III-VO ist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5.3</w:t>
      </w:r>
    </w:p>
    <w:p>
      <w:r>
        <w:t>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(vgl. dazu das nach wie vor Gültigkeit beanspruchende Urteil E-6883/2016 vom 28. November 2016 E. 6.1 m.H.) ist jedoch auch nach Erlass und Umsetzung des «Salvini-Dekrets» davon auszugehen, dass Italien die Verfahrensrichtlinie und die Aufnahmerichtlinie einhält, weshalb an der konstanten Rechtsprechung zur Situation in Italien grundsätzlich festzuhalten ist (vgl. hierzu Urteil des BVGer F-3373/2019 vom 5. Juli 2019 E. 5.5; ferner Urteile des BVGer E-3149/2019 vom 27. Juni 2019 S. 9, D-2513/2019 vom 28. Mai 2019 E. 8.1, F-2058/2019 vom 6. Mai 2019 E. 5, E-1489/2019 vom 3. April 2019 E. 6.2, F-1299/2019 vom 22. März 2019 S. 6/7 oder F-710/2019 vom 20. Februar 2019 E. 5.4). So besteht derzeit kein Anlass, von einem systemischen Mangel betreffend die staatliche Unterstützung und Einrichtungen für Asylsuchende auszugehen, obwohl die allgemeine Situation und insbesondere die Lebensumstände von Asylsuchenden, anerkannten Flüchtlingen und Personen mit einem subsidiären Schutzstatus in Italien gewisse Mängel aufweisen. Auch nehmen sich private Hilfsorganisationen der Betreuung von Asylsuchenden und Flüchtlingen an (vgl. bspw. F-3373/2019 vom 5. Juli 2019 E. 5.2).</w:t>
      </w:r>
    </w:p>
    <w:p>
      <w:r>
        <w:rPr>
          <w:b/>
        </w:rPr>
        <w:t>E. 5.4</w:t>
      </w:r>
    </w:p>
    <w:p>
      <w:r>
        <w:t>Die Vermutung, Italien halte seine völkerrechtlichen Verpflichtungen ein, kann zwar insbesondere mit Blick auf Art. 3 EMRK im Einzelfall widerlegt werden (vgl. BVGE 2010/45 E. 7.4 f.; Urteil des BVGer D-5698/2017 vom 6. März 2018 E. 5.3.1). Der Beschwerdeführer hat indes kein konkretes und ernsthaftes Risiko dargetan, die italienischen Behörden würden sich weigern, ihn aufzunehmen und seinen Antrag auf internationalen Schutz unter Einhaltung der Regeln der erwähnten Richtlinien zu prüfen. Den Akten sind auch keine Gründe für die Annahme zu entnehmen, Italien werde in seinem Fall den Grundsatz des Non-Refoulements missachten und ihn zur Ausreise in ein Land zwingen, in dem sein Leib, sein Leben oder seine Freiheit aus einem Grund nach Art. 3 Abs. 1 AsylG gefährdet sind oder in dem er Gefahr laufen würden, zur Ausreise in ein solches Land gezwungen zu werden. Ausserdem hat der Beschwerdeführer nicht in konkreter Weise dargetan, die ihn bei Rückführung in Italien erwartenden Bedingungen seien derart schlecht, dass es zu einer Verletzung von Art. 4 der EU-Grundrechtecharta, Art. 3 EMRK oder Art. 3 FoK führen könnte, sondern hat sich in seiner Rechtsmitteleingabe unter Hinweis auf entsprechende Bericht der SFH auf generelle Ausführungen beschränkt. Insbesondere hat er keine konkreten Hinweise für die Annahme dargetan, Italien würde ihm über einen längeren Zeitraum hinweg die ihm gemäss Aufnahmerichtlinie zustehenden minimalen Lebensbedingungen vorenthalten. Bei einer allfälligen vorübergehenden Einschränkung könnte er sich nötigenfalls an die italienischen Behörden wenden und die ihm zustehenden Aufnahmebedingungen auf dem Rechtsweg einfordern (vgl. Art. 26 Aufnahmerichtlinie).</w:t>
      </w:r>
    </w:p>
    <w:p>
      <w:r>
        <w:rPr>
          <w:b/>
        </w:rPr>
        <w:t>E. 5.5</w:t>
      </w:r>
    </w:p>
    <w:p>
      <w:r>
        <w:t>Die Anwendung von Art. 3 Abs. 2 Dublin-III-VO ist nach dem Gesagten nicht gerechtfertigt.</w:t>
      </w:r>
    </w:p>
    <w:p>
      <w:r>
        <w:rPr>
          <w:b/>
        </w:rPr>
        <w:t>E. 6.1</w:t>
      </w:r>
    </w:p>
    <w:p>
      <w:r>
        <w:t>Der Beschwerdeführer beruft sich in der Beschwerde auf seinen Gesundheitszustand, der einer Überstellung nach Italien entgegenstehe. Mit Eingabe vom 19. Juli 2019 dokumentiert er seinen aktuellen Gesundheitszustand und hält fest, dass er weiterhin ärztliche Betreuung benötige (BVGer-act. 4). Auch in seiner Replik vom 12. September 2019 hebt er hervor, er sei weiterhin darauf angewiesen, Zugriff auf die medizinische Infrastruktur in der Schweiz zu haben. Dabei verweist er auf den am (...) durchgeführten Schlafentzug sowie auf den in diesem Zusammenhang gleichentags erstellten Diagnosebericht. Es bestünden gravierende Zweifel daran, dass er in Italien tatsächlich Zugang zur regulären Gesundheitsversorgung hätte (BVGer-act. 9).</w:t>
      </w:r>
    </w:p>
    <w:p>
      <w:r>
        <w:rPr>
          <w:b/>
        </w:rPr>
        <w:t>E. 6.2</w:t>
      </w:r>
    </w:p>
    <w:p>
      <w:r>
        <w:t>Ein Verstoss gegen Art. 3 EMRK aus gesundheitlichen Gründen setzt nach geltender Rechtsprechung nicht mehr ein fortgeschrittenes oder terminales Krankheitsstadium beziehungsweise eine Todesnähe voraus (vgl. BVGE 2011/9 E. 7 m.w.H.), sondern dieser kann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41738/10, §§ 180 - 193 m.w.H.).</w:t>
      </w:r>
    </w:p>
    <w:p>
      <w:r>
        <w:rPr>
          <w:b/>
        </w:rPr>
        <w:t>E. 6.3</w:t>
      </w:r>
    </w:p>
    <w:p>
      <w:r>
        <w:t>Im Falle des Beschwerdeführers kann nicht von einer solchen Situation ausgegangen werden. Auch aus dem Diagnosebericht vom (...) geht kein pathologischer Befund hervor. Zwar ist dem Bericht des Weiteren zu entnehmen, dass aktuell keine aktuelle Medikation vorgesehen ist, die in der Replik geltend gemachten starken Hinweise für eine psychosomatische Erkrankung finden dagegen keine Erwähnung (BVGEer-act.9/2). Gemäss den Akten handelt es sich bei ihm somit nicht um eine schwerkranke Person. Das SEM führte in der angefochtenen Verfügung zu Recht aus, Italien verfüge über eine ausreichende medizinische Infrastruktur, zu welcher der Beschwerdeführer gestützt auf Art. 19 Abs. 1 Aufnahmerichtlinie Zugang habe. In seiner Vernehmlassung verweist das SEM zudem darauf, dass der Einwand des Beschwerdeführers, die in Italien erhaltenen Medikamente hätten ihn schläfrig gemacht, lediglich einen allfälligen Grund für weitere Abklärungen ergebe, die auch in Italien vorgenommen werden könnten. Auch medizinisch kardiale Abklärungen könnten in Italien durchgeführt werden.</w:t>
      </w:r>
    </w:p>
    <w:p>
      <w:r>
        <w:rPr>
          <w:b/>
        </w:rPr>
        <w:t>E. 6.4</w:t>
      </w:r>
    </w:p>
    <w:p>
      <w:r>
        <w:t>Gemäss Praxis des Bundesverwaltungsgerichts verfügt das SEM bei der Anwendung von Art. 29a Abs. 3 AsylV 1 über einen Ermessensspielraum (vgl. BVGE 2015/9 E. 7 f.). 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 Es besteht damit kein Grund für eine Anwendung der Ermessensklauseln von Art. 17 Abs. 1 Dublin-III-VO sowie von Art. 29a Abs. 3 AsylV 1.</w:t>
      </w:r>
    </w:p>
    <w:p>
      <w:r>
        <w:rPr>
          <w:b/>
        </w:rPr>
        <w:t>E. 6.5</w:t>
      </w:r>
    </w:p>
    <w:p>
      <w:r>
        <w:t>Somit bleibt Italien der für die Behandlung des Asylgesuchs des Beschwerdeführers zuständige Mitgliedstaat gemäss Dublin-III-VO.</w:t>
      </w:r>
    </w:p>
    <w:p>
      <w:r>
        <w:rPr>
          <w:b/>
        </w:rPr>
        <w:t>E. 7</w:t>
      </w:r>
    </w:p>
    <w:p>
      <w:r>
        <w:t>Die Vorinstanz ist demnach zu Recht in Anwendung von Art. 31a Abs. 1 Bst. b AsylG auf das Asylgesuch des Beschwerdeführers nicht eingetreten. Da der Beschwerdeführer nicht im Besitz einer gültigen Aufenthalts- oder Niederlassungsbewilligung ist, wurde die Überstellung nach Italien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Erwogenen ist die Beschwerde abzuweisen und die Verfügung der Vorinstanz zu bestätigen.</w:t>
      </w:r>
    </w:p>
    <w:p>
      <w:r>
        <w:rPr>
          <w:b/>
        </w:rPr>
        <w:t>E. 10.1</w:t>
      </w:r>
    </w:p>
    <w:p>
      <w:r>
        <w:t>Der am 18. Juni 2019 verfügte Vollzugsstopp fällt mit vorliegendem Urteil dahin.</w:t>
      </w:r>
    </w:p>
    <w:p>
      <w:r>
        <w:rPr>
          <w:b/>
        </w:rPr>
        <w:t>E. 10.2</w:t>
      </w:r>
    </w:p>
    <w:p>
      <w:r>
        <w:t>Das mit der Beschwerde gestellte Begehren um Verzicht auf die Erhebung eines Kostenvorschusses ist mit dem vorliegenden Direktentscheid gegenstandslos geworden.</w:t>
      </w:r>
    </w:p>
    <w:p>
      <w:r>
        <w:rPr>
          <w:b/>
        </w:rPr>
        <w:t>E. 11</w:t>
      </w:r>
    </w:p>
    <w:p>
      <w:r>
        <w:t>Bei diesem Ausgang des Verfahrens wären die Kosten grundsätzlich dem Beschwerdeführer aufzuerlegen (Art. 63 Abs. 1 VwVG). Allerdings hat er ein Gesuch um Gewährung der unentgeltlichen Prozessführung gestellt (vgl. Art. 65 Abs. 1 VwVG). Dieses ist gutzuheissen, da aufgrund der gesamten Umstände von der Bedürftigkeit des Beschwerdeführers auszugehen ist und die gestellten Begehren überdies nicht als aussichtslos anzusehen waren (vgl. BGE 140 V 521 E. 9.1 m.H.). Folglich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