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F-3041/2020 vom 14. März 2022</w:t>
      </w:r>
    </w:p>
    <w:p>
      <w:r>
        <w:t>Bundesverwaltungsgericht, 2022-03-14, FR</w:t>
      </w:r>
    </w:p>
    <w:p>
      <w:r>
        <w:rPr>
          <w:b/>
        </w:rPr>
        <w:t xml:space="preserve">Quelle: </w:t>
      </w:r>
      <w:r>
        <w:t>https://mcp.opencaselaw.ch/entscheid/bvger_F-3041_2020</w:t>
      </w:r>
    </w:p>
    <w:p>
      <w:r>
        <w:t>FR: TAF F-3041/2020 du 14 mars 2022</w:t>
      </w:r>
    </w:p>
    <w:p>
      <w:r>
        <w:t>IT: TAF F-3041/2020 del 14 marzo 2022</w:t>
      </w:r>
    </w:p>
    <w:p>
      <w:pPr>
        <w:pStyle w:val="Heading2"/>
      </w:pPr>
      <w:r>
        <w:t>Regeste</w:t>
      </w:r>
    </w:p>
    <w:p>
      <w:r>
        <w:t>Assistance administrative</w:t>
      </w:r>
    </w:p>
    <w:p>
      <w:pPr>
        <w:pStyle w:val="Heading2"/>
      </w:pPr>
      <w:r>
        <w:t>Erwägungen</w:t>
      </w:r>
    </w:p>
    <w:p>
      <w:r>
        <w:rPr>
          <w:b/>
        </w:rPr>
        <w:t>E. 6.1</w:t>
      </w:r>
    </w:p>
    <w:p>
      <w:r>
        <w:t>A l'appui de son pourvoi, la recourante a en particulier fait valoir que les informations la concernant ne rempliraient pas la condition de la proportionnalité et de la pertinence vraisemblable, dès lors que « les codes de domicile ne constituent pas un faisceau d'indices suffisants légitimant une résidence fiscale en France ».</w:t>
      </w:r>
    </w:p>
    <w:p>
      <w:r>
        <w:rPr>
          <w:b/>
        </w:rPr>
        <w:t>E. 6.2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w:t>
      </w:r>
    </w:p>
    <w:p>
      <w:r>
        <w:rPr>
          <w:b/>
        </w:rPr>
        <w:t>E. 6.3</w:t>
      </w:r>
    </w:p>
    <w:p>
      <w:r>
        <w:t>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6.4</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3.9).</w:t>
      </w:r>
    </w:p>
    <w:p>
      <w:r>
        <w:rPr>
          <w:b/>
        </w:rPr>
        <w:t>E. 6.5</w:t>
      </w:r>
    </w:p>
    <w:p>
      <w:r>
        <w:t>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la recourante fait valoir avoir été domiciliée fiscalement durant la période sous contrôle (cf. notamment les observations de la recourante du 2 novembre 2021) n'a pas à être examinée par le Tribunal.</w:t>
      </w:r>
    </w:p>
    <w:p>
      <w:r>
        <w:rPr>
          <w:b/>
        </w:rPr>
        <w:t>E. 6.6</w:t>
      </w:r>
    </w:p>
    <w:p>
      <w:r>
        <w:t>Au vu de ce qui précède, ce grief doit être écarté.</w:t>
      </w:r>
    </w:p>
    <w:p>
      <w:r>
        <w:rPr>
          <w:b/>
        </w:rPr>
        <w:t>E. 7</w:t>
      </w:r>
    </w:p>
    <w:p>
      <w:r>
        <w:t>Sur un autre plan, la recourante soutient, dans ses observations du 19 avril 2021, que le principe de spécialité ne serait pas respecté dans le cas d'espèce. A l'appui de ce grief, elle argue en substance qu'il existerait un fort risque que l'autorité requérante utilise - en violation du principe précité - les informations reçues par le biais de la présente procédure d'assistance administrative à d'autres fins que fiscales, spécialement dans le cadre de la procédure pénale menée contre la banque X._______ en France.</w:t>
      </w:r>
    </w:p>
    <w:p>
      <w:r>
        <w:rPr>
          <w:b/>
        </w:rPr>
        <w:t>E. 7.1</w:t>
      </w:r>
    </w:p>
    <w:p>
      <w:r>
        <w:t>Pour autant qu'il puisse être entré en matière sur ce grief qui ne paraît concerner que les intérêts de la banque X._______, c'est-à-dire un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 et [...] ces renseignements seront exclusivement utilisés contre les personnes visées par notre demande (y inclus des personnes tierces dans un contexte fiscal) », cf. Décision finale de l'AFC, ch. 8.2).</w:t>
      </w:r>
    </w:p>
    <w:p>
      <w:r>
        <w:rPr>
          <w:b/>
        </w:rPr>
        <w:t>E. 7.2</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w:t>
      </w:r>
    </w:p>
    <w:p>
      <w:r>
        <w:rPr>
          <w:b/>
        </w:rPr>
        <w:t>E. 8</w:t>
      </w:r>
    </w:p>
    <w:p>
      <w:r>
        <w:t>La recourante fait également état d'une violation du principe de la bonne foi, arguant en particulier que l'octroi de l'assistance administrative conduirait à une utilisation illégale des numéros de compte épargne transmis par l'AFC en vertu de l'accord bilatéral sur la fiscalité de l'épargne.</w:t>
      </w:r>
    </w:p>
    <w:p>
      <w:r>
        <w:rPr>
          <w:b/>
        </w:rPr>
        <w:t>E. 8.1</w:t>
      </w:r>
    </w:p>
    <w:p>
      <w:r>
        <w:t>La recourante a ainsi argué que l'Accord du 26 octobre 2004 entre la Confédération suisse et la Communauté européenne prévoyant des mesures équivalentes à celles prévues dans la directive 2003/48/CE du Conseil en matière de fiscalité des revenus de l'épargne sous forme de paiements d'intérêts [AFisE, RS 0.641.926.81 ; nouveau titre depuis le 1er janvier 2017 : Accord entre la Confédération suisse et l'Union européenne sur l'échange automatique d'informations relatives aux comptes financiers en vue d'améliorer le respect des obligations fiscales au niveau international [RO 5003, 5005]) prévoyait que les revenus de l'épargne réalisés en Suisse par des contribuables domiciliés en France étaient frappés d'une retenue fiscale de 35% depuis juillet 2011 mais qu'en contrepartie, le secret bancaire était préservé et évitait l'échange automatique d'informations.</w:t>
      </w:r>
    </w:p>
    <w:p>
      <w:r>
        <w:rPr>
          <w:b/>
        </w:rPr>
        <w:t>E. 8.2</w:t>
      </w:r>
    </w:p>
    <w:p>
      <w:r>
        <w:t>Cet argument ne saurait cependant être suivi. En effet, les prélèvements qui ont pu être effectués en vertu de l'accord précité avaient pour but de sécuriser une imposition, à l'instar de l'impôt anticipé en Suisse. Ce prélèvement était ensuite partiellement reversé à l'Etat de résidence. Il ne constitue pas une base de double imposition dès lors que le prélèvement peut être pris en compte lors du calcul de l'impôt dû dans l'Etat de résidence. Il appartiendra dès lors à la recourante de faire valoir ses griefs relatifs à un éventuel risque de double imposition, respectivement de solliciter la prise en compte du prélèvement selon l'AFIsE, devant les autorités compétentes françaises (dans le même sens, cf. les arrêts du TAF F-3036/2020 consid. 7.7.2 et F-5670/2020 du 13 décembre 2021 consid. 8.2).</w:t>
      </w:r>
    </w:p>
    <w:p>
      <w:r>
        <w:rPr>
          <w:b/>
        </w:rPr>
        <w:t>E. 8.3</w:t>
      </w:r>
    </w:p>
    <w:p>
      <w:r>
        <w:t>Dans la mesure où le grief doit être rejeté, il n'est pas nécessaire de trancher de manière définitive la question de sa recevabilité soulevée par l'autorité inférieure. Il sied tout au plus de noter que dans la procédure de recours devant le Tribunal de céans, l'invocation de nouveaux arguments juridiques au moment du dépôt du recours, voire dans les autres écritures déposées ultérieurement, est en principe possible (cf. notamment Moser/Beusch/ Kneubühler, op. cit., ch. 2.197ss et Kölz/Hähner/Bertschi, Verwaltungsverfahren und Verwaltungsrechtspflege des Bundes, 3e édition 2013, ch. 1018 ss).</w:t>
      </w:r>
    </w:p>
    <w:p>
      <w:r>
        <w:rPr>
          <w:b/>
        </w:rPr>
        <w:t>E. 9</w:t>
      </w:r>
    </w:p>
    <w:p>
      <w:r>
        <w:t>La recourante a enfin requis la suspension de la présente procédure jusqu'à « droit jugé par le Tribunal administratif fédéral du recours de la banque X._______ du mois de mars 2020 » (cf. le mémoire de recours du 11 juin 2020 p. 3), respectivement jusqu'à « droit jugé en France s'agissant des questions prioritaires de constitutionnalité déposée dans la procédure pénale menée contre la banque X._______ » (cf. les observations du 19 avril 2021).</w:t>
      </w:r>
    </w:p>
    <w:p>
      <w:r>
        <w:rPr>
          <w:b/>
        </w:rPr>
        <w:t>E. 9.1</w:t>
      </w:r>
    </w:p>
    <w:p>
      <w:r>
        <w:t>Le Tribunal administratif fédéral peut, d'office ou sur requête, suspendre une procédure, pour autant que cela soit compatible avec l'obligation de diligence de l'art. 29 al. 1 Cst. (cf. arrêt TAF A-3045/2020 du 29 mars 2021 consid. 6). Ainsi, une suspension de la procédure entre notamment en ligne de compte lorsque les circonstances du cas impliquent qu'une décision immédiate ne se justifie pas sous l'angle de l'économie de la procédure (Moser/BEUSCH/ KNEUBÜHLER, op. cit., ch. 3.14), en particulier si le sort d'un autre litige est susceptible d'influer sur l'issue de la cause (Moser/BEUSCH/ KNEUBÜHLER, op. cit., ch. 3.15).</w:t>
      </w:r>
    </w:p>
    <w:p>
      <w:r>
        <w:rPr>
          <w:b/>
        </w:rPr>
        <w:t>E. 9.2</w:t>
      </w:r>
    </w:p>
    <w:p>
      <w:r>
        <w:t>Selon la jurisprudence du TF, une procédure peut être certes suspendue pour des motifs d'opportunité, mais elle ne doit être admise qu'exceptionnellement, notamment lorsqu'il se justifie d'attendre la décision d'une autre autorité (cf. ATF 138 II 386 consid. 7, 130 V 90 consid 5 , voir également l'arrêt TAF A-837/2019 du 10 juillet 2019 consid. 3.1). Une suspension de procédure comporte toutefois le risque de retarder inutilement celle-ci et ne doit être admise qu'avec une retenue certaine, eu égard à l'exigence du principe de célérité (art. 29 Cst. et art. 4 al. 2 LAAF). Compte tenu de la diligence qui doit prévaloir en matière d'assistance administrative internationale en matière fiscale, seule des circonstances exceptionnelles justifient ainsi la suspension d'une procédure en cours en ce domaine (cf. les arrêts du TF 2C_801/2020 du 7 octobre 2020 consid. 4 et 2C_804/2019 du 21 avril 2020 consid 3.4). En l'espèce, le dépôt d'un recours devant le Tribunal de céans par la banque X._______ dans une autre procédure à laquelle la recourante n'est pas partie et dont il n'est pas démontré que l'issue pourrait avoir un impact sur la présente procédure de recours, ne suffit en aucun cas à conclure à l'existence de telles circonstances exceptionnelles. Pour le surplus, la procédure en question est désormais terminée et le TF a d'ailleurs déclaré irrecevable le recours formé contre l'arrêt rendu le 6 juillet 2020 par le Tribunal de céans dans l'affaire A-1510/2020. S'agissant de la procédure pendante devant les autorités françaises, il sied tout au plus de noter qu'il ressort d'informations publiques que la Cour d'appel de Paris a refusé, le 18 juin 2021, de transmettre au Conseil constitutionnel une question prioritaire de constitutionnalité (QPC) déposée par la défense de la banque suisse X._______ en mars à l'issue de son procès en appel et qu'avec le rejet de cette QPC, le dossier peut suivre son cours sans changement (cf. l'arrêt du TAF F-3036/2020 consid. 6.3.3 et les sources citées).</w:t>
      </w:r>
    </w:p>
    <w:p>
      <w:r>
        <w:rPr>
          <w:b/>
        </w:rPr>
        <w:t>E. 9.3</w:t>
      </w:r>
    </w:p>
    <w:p>
      <w:r>
        <w:t>La requête tendant à la suspension de la présente procédure de recours est en conséquence rejetée.</w:t>
      </w:r>
    </w:p>
    <w:p>
      <w:r>
        <w:rPr>
          <w:b/>
        </w:rPr>
        <w:t>E. 10.1</w:t>
      </w:r>
    </w:p>
    <w:p>
      <w:r>
        <w:t>Vu les considérants qui précèdent, le recours est rejeté. La recourante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10.2</w:t>
      </w:r>
    </w:p>
    <w:p>
      <w:r>
        <w:t>Vu l'issue de la cause, il n'est pas alloué de dépens (art. 64 al. 1 PA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