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F-3040/2023 vom 26. April 2023</w:t>
      </w:r>
    </w:p>
    <w:p>
      <w:r>
        <w:t>Bundesverwaltungsgericht, 2023-04-26, DE</w:t>
      </w:r>
    </w:p>
    <w:p>
      <w:r>
        <w:rPr>
          <w:b/>
        </w:rPr>
        <w:t xml:space="preserve">Quelle: </w:t>
      </w:r>
      <w:r>
        <w:t>https://mcp.opencaselaw.ch/entscheid/bvger_F-3040_2023_d20230426</w:t>
      </w:r>
    </w:p>
    <w:p>
      <w:r>
        <w:t>FR: TAF F-3040/2023 du 26 avril 2023</w:t>
      </w:r>
    </w:p>
    <w:p>
      <w:r>
        <w:t>IT: TAF F-3040/2023 del 26 aprile 2023</w:t>
      </w:r>
    </w:p>
    <w:p>
      <w:pPr>
        <w:pStyle w:val="Heading2"/>
      </w:pPr>
      <w:r>
        <w:t>Regeste</w:t>
      </w:r>
    </w:p>
    <w:p>
      <w:r>
        <w:t>Schengen-Visum | Schengen-Visum zu Besuchszwecken für A._______ und B._______; Verfügung des SEM vom 26. April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Der Beschwerdeführer hat am vorangegangenen Einspracheverfahren teilgenommen und ist als Verfügungsadressat sowie Gastgeber der Ge- suchstellenden durch den angefochtenen Entscheid besonders berührt. Obwohl der ursprünglich angestrebte Besuchszeitraum inzwischen abge- laufen ist, muss auf ein fortbestehendes Rechtsschutzinteresse geschlos- sen werden. Dies belegt allein schon die Einreichung des Rechtsmittels. Der Beschwerdeführer ist daher zur Erhebung des Rechtsmittels legitimiert (Art. 48 Abs. 1 VwVG). Auf die im Übrigen frist- und formgerecht einge- reichte Beschwerde ist einzutreten (vgl. Art. 50 Abs. 1 und 52 Abs. 1 VwVG).</w:t>
      </w:r>
    </w:p>
    <w:p>
      <w:r>
        <w:t>F-3040/2023 Seite 4</w:t>
      </w:r>
    </w:p>
    <w:p>
      <w:r>
        <w:rPr>
          <w:b/>
        </w:rPr>
        <w:t>E. 1.4</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Der angefochtenen Verfügung liegt das Gesuch von zwei jemeniti- schen Staatsangehörigen um Erteilung eines Visums zu Besuchszwecken für die Schweiz zugrunde. Da sich die Gesuchstellenden nicht auf die EU/EFTA-Personenfreizügigkeitsabkommen berufen können und die be- absichtigte Aufenthaltsdauer 90 Tage nicht überschreitet, fällt die vorlie- gende Streitsache in den persönlichen und sachlichen Anwendungsbe- reich der Schengen-Assoziierungsabkommen, mit denen die Schweiz den Schengen-Besitzstand und die dazugehörigen gemeinschaftsrechtlichen Rechtsakte übernommen hat (BVGE 2014/1 E. 3; 2011/48 E. 3). Das Aus- länder- und Integrationsgesetz (AIG, SR 142.20)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 gen-Recht nicht (BVGE 2014/1 E. 4.1.1 und 4.1.5; 2011/48 E. 4).</w:t>
      </w:r>
    </w:p>
    <w:p>
      <w:r>
        <w:t>F-3040/2023 Seite 5</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 sumerteilung [VEV, SR 142.204] i.V.m. Anhang I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28.11.2018]).</w:t>
      </w:r>
    </w:p>
    <w:p>
      <w:r>
        <w:rPr>
          <w:b/>
        </w:rPr>
        <w:t>E. 4.2</w:t>
      </w:r>
    </w:p>
    <w:p>
      <w:r>
        <w:t>Im Weiteren müssen Drittstaatsangehörige den Zweck und die Um- stände ihres beabsichtigten Aufenthalts belegen und hierfür über ausrei- chend finanzielle Mittel verfügen. Namentlich haben sie in diesem Zusam- menhang zu belegen, dass sie den Schengen-Raum vor Ablauf des bewil- ligungsfreien Aufenthalts verlassen, beziehungsweise ausreichende Ge- währ für eine fristgerechte Wiederausreise bieten. Sie dürfen sodann nicht im Schengener Informationssystem zur Einreiseverweigerung ausge- schrieben sein und keine Gefahr für die öffentliche Ordnung, die innere Sicherheit, die öffentliche Gesundheit oder die internationalen Beziehun- 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 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 heitsgebiet der Mitgliedstaaten vor Ablauf der Gültigkeit des beantragten</w:t>
      </w:r>
    </w:p>
    <w:p>
      <w:r>
        <w:t>F-3040/2023 Seite 6 Visums wieder zu verlassen, ist das Visum zu verweigern (Art. 32 Abs. 1 Bst. b VK; BVGE 2014/1 E. 4.4 f.). Den Behörden kommt bei der Beurtei- lung, ob die Voraussetzungen für die Visumerteilung erfüllt sind, ein weiter Spielraum zu (BVGE 2014/1 E. 4.1.5).</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ein Staat unter anderem Gebrauch machen, wenn er es aus hu- manitären Gründen, aus solchen des nationalen Interesses oder aufgrund internationaler Verpflichtungen für erforderlich hält (vgl. Art. 3 Abs. 4 VEV; Art. 25 Abs. 1 Bst. a VK; Art. 6 Abs. 5 Bst. c SGK).</w:t>
      </w:r>
    </w:p>
    <w:p>
      <w:r>
        <w:rPr>
          <w:b/>
        </w:rPr>
        <w:t>E. 5.1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 urteilung der Gewähr für eine fristgerechte Wiederausreise bilden einer- seits die allgemeine Lage im Herkunftsland und andererseits die individu- elle Situation der gesuchstellenden Person. Es rechtfertigt sich, Einreise- gesuchen von Personen aus Regionen mit politisch oder wirtschaftlich eher ungünstigen Verhältnissen mit einer gewissen Zurückhaltung zu begeg- nen, da die persönliche Interessenlage in solchen Fällen häufig nicht mit Ziel und Zweck einer zeitlich befristeten Einreisebewilligung in Einklang steht (BVGE 2014/1 E. 6.1).</w:t>
      </w:r>
    </w:p>
    <w:p>
      <w:r>
        <w:rPr>
          <w:b/>
        </w:rPr>
        <w:t>E. 5.2</w:t>
      </w:r>
    </w:p>
    <w:p>
      <w:r>
        <w:t>Jemen gehört zu den ärmsten Ländern der Welt und befindet sich in einer grossen humanitären Krise, welche sich seit Beginn des Jemen-Kon- flikts im März 2015 weiter zugespitzt hat. Die Auseinandersetzungen zwi- schen den rivalisierenden Gruppierungen haben das Land wirtschaftlich ruiniert, zu grosser Ernährungsunsicherheit geführt und wichtige Infrastruk- turen zerstört. Trotz staatlicher Reformen zur Stabilisierung des jemeniti- schen Rial wurde der Wechselkurs 2022 weiter abgewertet und erreichte historische Tiefststände. Dies führte zu einem erheblichen Anstieg der Le- bensmittelpreise und stürzte immer mehr Menschen in Armut. Die humani- täre Krise hat sich durch die Corona-Pandemie und den weltweiten Anstieg der Rohstoffpreise noch verschärft. Nach Schätzungen der Vereinten Nati- onen sind im Jahr 2023 von den 30 Millionen Einwohnerinnen und</w:t>
      </w:r>
    </w:p>
    <w:p>
      <w:r>
        <w:t>F-3040/2023 Seite 7 Einwohnern rund 24 Millionen auf humanitäre Hilfe angewiesen und gegen 20 Millionen haben keinen Zugang zu grundlegender Gesundheitsversor- gung. Inzwischen ist rund 71 % bis 78 % der jemenitischen Bevölkerung von Armut betroffen (vgl. dazu etwa www.worldbank.org/en/country/ye- men/overwiew, Stand 21. März 2023, abgerufen im September 2023).</w:t>
      </w:r>
    </w:p>
    <w:p>
      <w:r>
        <w:rPr>
          <w:b/>
        </w:rPr>
        <w:t>E. 5.3</w:t>
      </w:r>
    </w:p>
    <w:p>
      <w:r>
        <w:t>Vor diesem Hintergrund ist nicht zu beanstanden, dass die Vorinstanz das Risiko einer nicht fristgerechten Wiederausreise von Besucherinnen und Besuchern aus dem Jemen allgemein als hoch einschätzt. Allein auf- grund der allgemeinen Lage im Herkunftsland darf allerdings nicht auf eine unzureichend gesicherte Wiederausreise geschlossen werden. So sind bei der Risikoanalyse nicht nur die allgemeinen Umstände, sondern auch sämtliche Gesichtspunkte des konkreten Einzelfalls zu berücksichtigen. Durch besondere berufliche, gesellschaftliche oder familiäre Verpflichtun- gen kann die Prognose für eine anstandslose Wiederausreise begünstigt werden. Umgekehrt muss bei Personen, die in ihrer Heimat keine derarti- gen Verpflichtungen haben, das Risiko eines ausländerrechtlich nicht re- gelkonformen Verhaltens nach einer bewilligten Einreise als hoch einge- schätzt werden (BVGE 2014/1 E. 6.3.1).</w:t>
      </w:r>
    </w:p>
    <w:p>
      <w:r>
        <w:rPr>
          <w:b/>
        </w:rPr>
        <w:t>E. 5.4</w:t>
      </w:r>
    </w:p>
    <w:p>
      <w:r>
        <w:t>Bei den eingeladenen Personen handelt es sich um den mittlerweile 75-jährigen Vater und die 65-jährige Mutter des Beschwerdeführers. Sie leben in der jemenitischen Hauptstadt Sanaa. Aufgrund der Akten ist davon auszugehen, dass ihnen in ihrem Heimatland keine über das übliche Mass hinausgehenden familiären und gesellschaftlichen Verpflichtungen oblie- gen. Insoweit ist der Vorinstanz beizupflichten, dass dies die Gesuchstel- lenden nicht nachhaltig von einer allfälligen Emigration abzuhalten ver- möchte. Entsprechend grosse Bedeutung kommt deshalb den wirtschaftli- chen Verhältnissen zu, in denen die eingeladenen Personen leben. Daran anknüpfend, gilt es gewisse Besonderheiten dieses Einzelfalles mit in Be- tracht zu ziehen.</w:t>
      </w:r>
    </w:p>
    <w:p>
      <w:r>
        <w:rPr>
          <w:b/>
        </w:rPr>
        <w:t>E. 5.5</w:t>
      </w:r>
    </w:p>
    <w:p>
      <w:r>
        <w:t>Wie angetönt, wohnen die Gesuchstellenden in Sanaa, dem politi- schen, wirtschaftlichen und kulturellen Zentrum des Landes, wo nicht der- art prekäre Lebensbedingungen herrschen wie in den übrigen Landestei- len. Weil die Schweiz im Jemen keine Vertretung hat, mussten sie sich, um Visagesuche zu stellen, in das rund 2'000 km entfernte Riyadh in Saudi- Arabien begeben, was mangels direkter Flüge mit einer Reisedauer von 26 Stunden verbunden war [SEM act. 1/31-33]). Bereits diese Besonderheit deutet darauf hin, dass die Gäste des Beschwerdeführers trotz den oben aufgeführten Zuständen ein eigenständiges, selbstbestimmtes Leben</w:t>
      </w:r>
    </w:p>
    <w:p>
      <w:r>
        <w:t>F-3040/2023 Seite 8 führen und über eine gesicherte wirtschaftliche Existenz in ihrer Heimat verfügen. Für wirtschaftlich privilegierte Verhältnisse sprechen aber vor al- lem die Unterlagen, welche im Rahmen des Beschwerdeverfahrens einge- reicht wurden. Daraus geht hervor, dass der Gesuchsteller 1 in Jemen Ei- gentümer mehrerer Immobilien ist. Vier Liegenschaften befinden sich in Sanaa, hinzu kommt eine Liegenschaft in der Provinz X._______. Diese Liegenschaften werden grösstenteils vermietet, wobei der Gesuchsteller 1 eigener Darstellung zufolge als Vermieter auftritt und seine diesbezügli- chen Verpflichtungen selber wahrnimmt. Seine Angaben sind durch ent- sprechende Dokumente belegt (vgl. BVGer act. 1, Beschwerdebeilagen 3, 4 und 8). Dank der Mietverhältnisse erzielt der Gesuchsteller 1 monatliche Mietzinseinnahmen von umgerechnet Fr. 7’155.– (siehe Beschwerdebeila- gen 3, 4 und 5), was sich weit über dem durchschnittlichen Monatseinkom- men im Jemen von Fr. 300.– bewegt. Auch das SEM erachtet die Eigen- tumsverhältnisse des Vaters des Beschwerdeführers in der Vernehmlas- sung nunmehr als ausreichend belegt und sieht die finanzielle Situation folgerichtig als gefestigt an (BVGer act. 7). Mit der Vorinstanz ist mithin davon auszugehen, dass sich die wirtschaftlichen Verhältnisse auf Seiten der Gesuchstellenden überdurchschnittlich gut präsentieren.</w:t>
      </w:r>
    </w:p>
    <w:p>
      <w:r>
        <w:rPr>
          <w:b/>
        </w:rPr>
        <w:t>E. 5.6</w:t>
      </w:r>
    </w:p>
    <w:p>
      <w:r>
        <w:t>Die Vorinstanz hält in der Vernehmlassung nun stattdessen dagegen, dass selbst Grundbesitz keine hinreichende Gewähr für eine fristgerechte und anstandslos Wiederausreise der Gesuchstellenden biete. Dem in die- sem Zusammenhang zitierten Urteil F-4758/2020 liegt allerdings ein ande- rer Sachverhalt zu Grunde, der sich nicht auf die vorliegende Konstellation übertragen lässt (im fraglichen Verfahren erfolgten im Vorfeld der Einrei- chung der Gesuche plötzliche Aufstockungen der Konten der eingeladenen Personen; anders als hier war zudem nicht ersichtlich, aus welchen Quel- len besagte Einnahmen stammten und was der Grund für die Zahlungen war [siehe dortige E. 6.3.2]). In der Vernehmlassung wird darüber hinaus argumentiert, dass der Gesuchsteller 1 gewisse Eigentümerpflichten dele- gieren könnte und nicht vor Ort zu sein brauchte. Dies erscheint indes keine valable Alternative, da der Betroffene wegen der Sanktionen von der Schweiz aus so oder so kaum von den Mieteinkünften in seinem Heimat- land zu profitieren vermöchte (siehe hierzu auch BVGer act. 9, Beschwer- debeilage 9). Abgesehen davon steht der vorinstanzliche Hinweis in der Vernehmlassung vom 7. August 2023, wonach selbst Grundbesitz und überdurchschnittlich gute wirtschaftliche Verhältnisse keine hinreichende Gewähr für eine fristgerechte und anstandslose Wiedereinreise der Ge- suchstellenden leisten könnten, in gewissem Widerspruch zu den Ausfüh- rungen im Einspracheentscheid vom 26. April 2023, in welchem</w:t>
      </w:r>
    </w:p>
    <w:p>
      <w:r>
        <w:t>F-3040/2023 Seite 9 festgehalten wurde, den wirtschaftlichen Verhältnissen, in denen sich die Gesuchstellenden befänden, komme eine grosse Bedeutung zu. Aufgrund dessen ist davon auszugehen, dass die Gesuchstellenden in stabilen, günstigen wirtschaftlichen Verhältnissen mit Grundbesitz sowie regelmäs- sigen, gesicherten Einkünften leben. Es handelt sich um Begebenheiten, welche geeignet sind, das Risiko einer nicht fristgerechten Wiederausreise nach einem Besuchsaufenthalt in der Schweiz entscheidend herabzuset- zen.</w:t>
      </w:r>
    </w:p>
    <w:p>
      <w:r>
        <w:rPr>
          <w:b/>
        </w:rPr>
        <w:t>E. 5.7</w:t>
      </w:r>
    </w:p>
    <w:p>
      <w:r>
        <w:t>Zu beachten gilt es sodann, dass der Gesuchstellerin 2 bereits in den Jahren 2013 und 2016 Schengen-Visa für längere Besuchsaufenthalte beim Beschwerdeführer in der Schweiz erteilt worden sind. Das SEM gibt diesbezüglich allerdings zu bedenken, dass der Gast beide Male Verlän- gerungsgesuche gestellt habe. Den Akten lässt sich hierzu entnehmen, dass die Gesuchstellerin 2 im Jahr 2013 ein Visum für 62 Tage (vom 29. April 2013 bis 29. Juni 2013) ausgestellt erhalten hatte, welches auf Gesuch hin bis zum 31. Juli 2013 verlängert worden war. Gemäss den vor- gelegten Passkopien reiste sie am 30. April 2013 ein und verliess den Schengenraum vor Ablauf der bewilligten Dauer am 27. Juli 2013 wieder (siehe Beschwerdebeilage 6). Im Jahre 2016 verhielt es sich so, dass sie im Besitze eines vom 11. März 2016 bis 21. Juni 2016 gültigen Visums war. Weil die Gesuchstellerin 2 erst am 8. April 2013, mehrere Wochen nach Beginn der bewilligten Dauer, in die Schweiz einreisen konnte, wurde ihr auf Gesuch hin eine Verlängerung bis zum 10. Juli 2016 gewährt. Die Aus- reise erfolgte dann bereits am 3. Juli 2016 (siehe Beschwerdebeilage 7). Daraus ergibt sich, dass die fraglichen Verlängerungen bewilligt wurden und beide Besuchsaufenthalte die maximale Aufenthaltsdauer von 90 Ta- gen im Schengenraum nicht überschritten. Unter diesen Umständen kann der Gesuchstellerin 2 nicht vorgeworfen werden, damals weder fristgerecht noch anstandslos ausgereist zu sein. Kommt hinzu, dass der Gesuchstel- ler 1 seinerseits den Beschwerdeführer gemäss dessen Einsprache zwei- mal in Deutschland besucht hat (2007 und 2013), die Gesuchstellerin 2 soll sich sogar dreimal (2005, 2007 und 2013) dort bei ihm aufgehalten haben (vgl. SEM act. 1/30-33). Sollte das Ziel der Gesuchstellenden in einem dau- erhaften Aufenthalt in der Schweiz oder im Schengenraum bestehen, hät- ten sie in der Vergangenheit hinreichend Gelegenheit gehabt, dies mit ent- sprechenden Vorkehren umzusetzen, was nicht geschah. Auch das bishe- rige Verhalten der Eltern des Beschwerdeführers spricht somit nicht gegen eine termingerechte Wiederausreise.</w:t>
      </w:r>
    </w:p>
    <w:p>
      <w:r>
        <w:t>F-3040/2023 Seite 10</w:t>
      </w:r>
    </w:p>
    <w:p>
      <w:r>
        <w:rPr>
          <w:b/>
        </w:rPr>
        <w:t>E. 5.8</w:t>
      </w:r>
    </w:p>
    <w:p>
      <w:r>
        <w:t>Darüber hinaus gilt festzuhalten, dass der Gesuchstellerin 2 selbst nach Ausbruch des Jemen-Konflikts noch ein Schengen-Visum erteilt wurde und der sich in der angefochtenen Verfügung findende Hinweis auf die schweizerischen Asylstatistik für Jemen sachlich nicht begründet er- scheint, zumal die ohnehin schon sehr tiefen Zahlen für dieses Land seit dem Sommer 2022 rückläufig sind (vgl. www.sem.admin.ch &gt; Publikatio- nen &amp; Services &gt; Statistiken &gt; Asylstatistik &gt; Asylgesuche nach Nationen (letzte 37 Monate). Auf welchen Erkenntnissen schliesslich die je in einem einzigen Satz festgehaltenen negativen Einschätzungen der Schweizer Botschaft in Riyadh beruhen (SEM act. 2/48 bzw. 50), ist nicht aktenkundig. Auch dies sind Faktoren, welche die Gefahr einer Emigration mindern. Im Weiteren hat der Beschwerdeführer im Verlaufe der kantonalen Abklärun- gen eine Garantieerklärung über Fr. 30'000.– abgegeben (SEM act. 6/112), wobei aufgrund der Akten davon auszugehen ist, dass er diese tatsächlich zu leisten vermag (SEM act. 6/109-111).</w:t>
      </w:r>
    </w:p>
    <w:p>
      <w:r>
        <w:rPr>
          <w:b/>
        </w:rPr>
        <w:t>E. 5.9</w:t>
      </w:r>
    </w:p>
    <w:p>
      <w:r>
        <w:t>Vor diesem Hintergrund fragt sich, ob dem Risiko einer nicht fristge- rechten Wiederausreise der Gesuchstellenden und den in diesem Fall ent- stehenden hohen Aufenthalts-, Betreuungs- und Rückreisekosten vorlie- 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 hang I) ebenfalls dazu dienen, Gewähr für die sichere Wiederausreise bei Ablauf des Visums zu bieten (vgl. Urteile des BVGer F-4590/2021 vom 2. Dezember 2022 E. 5.7; F-2075/2020 vom 26. November 2020 E. 7.1; F-692/2018 vom 30. Januar 2020 E. 7.4). Die Gesuchstellenden haben ihr ausländerrechtlich konformes Verhalten, wie bereits erwähnt, anlässlich ih- rer bisherigen Besuchsaufenthalte in der Schweiz und in Deutschland mehrfach unter Beweis gestellt. Dass eine relativ lange Visumsdauer von drei Monaten beantragt wurde, ist unter den konkreten Umständen (langer und eher umständlicher Reiseweg, gegenseitige Besuche waren unter an- derem pandemiebedingt längere Zeit nicht mehr möglich) nachvollziehbar. Im Kontext der dargelegten günstigen wirtschaftliche Verhältnisse auf Sei- ten der Gesuchstellenden sowie angesichts der Bereitschaft des Be- schwerdeführers, für allfällig entstehende Aufenthalts-, Betreuungs- und Rückreisekosten finanziell einzustehen und nötigenfalls als Sicherheit eine Kaution von Fr. 30'000.– zu hinterlegen, erscheint die Prognose für eine anstandslose Wiederausreise vertretbar und die vorliegende Konstellation als insgesamt vergleichbar mit anderen Entscheiden, in denen das</w:t>
      </w:r>
    </w:p>
    <w:p>
      <w:r>
        <w:t>F-3040/2023 Seite 11 Bundesverwaltungsgericht die Visumserteilung unter der Bedingung einer Kautionszahlung als möglich erkannte (vgl. Urteil des BVGer F-4590/2021 vom 2. Dezember 2022 E. 5.7 m.w.H.). Somit sind den Gesuchstellenden die beantragten Visa unter der Auflage zu erteilen, eine Kaution im Betrag von Fr. 30'000.– beim zuständigen kantonalen Migrationsamt bzw. auf ein von letzterer Behörde bezeichnetes Bankkonto (Bankgarantie) in der Schweiz zu hinterlegen (vgl. Art. 6 Abs. 3 AIG i.V.m. Art 15 Abs. 5 [analog] und Art. 18 VEV).</w:t>
      </w:r>
    </w:p>
    <w:p>
      <w:r>
        <w:rPr>
          <w:b/>
        </w:rPr>
        <w:t>E. 6</w:t>
      </w:r>
    </w:p>
    <w:p>
      <w:r>
        <w:t>Zusammenfassend ist somit festzuhalten, dass den Gesuchstellenden die Erteilung der Visa nicht mit der Begründung verweigert werden kann, die Wiederausreise erscheine nicht als hinreichend gesichert. Daran ändert nichts, dass das Risiko für eine Missachtung ausländerrechtlicher Normen naturgemäss nie gänzlich ausgeschlossen werden kann. Die Beschwerde ist daher gutzuheissen, die angefochtene Verfügung aufzuheben und die Sache zu neuer Beurteilung an die Vorinstanz zurückzuweisen. Dabei bleibt dem SEM zu prüfen, ob die übrigen Voraussetzungen für die Ertei- lung der beantragten Visa erfüllt sind (vgl. E. 4), beziehungsweise, ob die Kautionszahlung geleistet wurde.</w:t>
      </w:r>
    </w:p>
    <w:p>
      <w:r>
        <w:rPr>
          <w:b/>
        </w:rPr>
        <w:t>E. 7.1</w:t>
      </w:r>
    </w:p>
    <w:p>
      <w:r>
        <w:t>Bei diesem Verfahrensausgang sind keine Kosten aufzuerlegen (vgl. Art. 63 Abs. 1 und 2 VwVG). Dem durch Rechtsanwalt Roman Pfäffli ver- tretenen Beschwerdeführer ist angesichts seines Obsiegens gestützt auf Art. 64 Abs. 1 VwVG i.V.m. Art 7 ff. des Reglements vom 21. Februar 2008 über die Kosten und Entschädigungen vor dem Bundesverwaltungsgericht (VGKE, SR 173.320.2) zu Lasten der Vorinstanz eine angemessene Par- teientschädigung zuzusprechen.</w:t>
      </w:r>
    </w:p>
    <w:p>
      <w:r>
        <w:rPr>
          <w:b/>
        </w:rPr>
        <w:t>E. 7.2</w:t>
      </w:r>
    </w:p>
    <w:p>
      <w:r>
        <w:t>Das Gericht setzt die Entschädigung unter Berücksichtigung der Kos- 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total Fr. 1’800.– fest- zusetzen.</w:t>
      </w:r>
    </w:p>
    <w:p>
      <w:r>
        <w:t>F-3040/2023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