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F-3024/2018 vom 28. Oktober 2019</w:t>
      </w:r>
    </w:p>
    <w:p>
      <w:r>
        <w:t>Bundesverwaltungsgericht, 2019-10-28, DE</w:t>
      </w:r>
    </w:p>
    <w:p>
      <w:r>
        <w:rPr>
          <w:b/>
        </w:rPr>
        <w:t xml:space="preserve">Quelle: </w:t>
      </w:r>
      <w:r>
        <w:t>https://mcp.opencaselaw.ch/entscheid/bvger_F-3024_2018</w:t>
      </w:r>
    </w:p>
    <w:p>
      <w:r>
        <w:t>FR: TAF F-3024/2018 du 28 octobre 2019</w:t>
      </w:r>
    </w:p>
    <w:p>
      <w:r>
        <w:t>IT: TAF F-3024/2018 del 28 ottobre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 Auf das Freizügigkeitsabkommen (FZA; SR 0.142.112.681), welches den Weiterzug des vorliegenden Urteils an das Bundesgericht ermöglichen würde, kann sich der Beschwerdeführer nicht berufen. Weder hat er ein eigenständiges Aufenthaltsrecht in einem der Mitgliedstaaten noch kann er sich auf ein von seiner deutschen Ehefrau abgeleitetes Aufenthaltsrecht in der Schweiz berufen (vgl. BGE 130 II 1 E. 3.6.1; Marc Spescha in: Kommentar Migrationsrecht, 5. Auflage 2019, Art. 67 AIG N 9 und N 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Der Beschwerdeführer beanstandet die angefochtene Verfügung zunächst in formeller Hinsicht, indem er der Vorinstanz vorwirft, sich nicht mit seiner Stellungnahme vom 19. April 2018 auseinandergesetzt und durch die insoweit unzureichende Begründung des Einreiseverbots sein rechtliches Gehör verletzt zu haben. Fraglich ist, ob dieser Vorwurf berechtigt ist, denn die Begründungspflicht, ausdrücklich geregelt in Art. 35 VwVG und Teilge-halt des sich aus Art. 29 Abs. 2 BV ergebenden Anspruchs auf rechtliches Gehör, verlangt nicht, dass sich die Behörde mit allen Parteistandpunkten einlässlich auseinandersetzt und jedes einzelne Vorbringen ausdrücklich widerlegt. Vielmehr darf sie sich auf die entscheidwesentlichen Faktoren beschränken, wenn der Betroffene dadurch die Tragweite des Entscheids erkennen und diesen sachgerecht anfechten kann (vgl. BGE 142 II 49 E. 9.2). Diesen Erfordernissen hat die Vorinstanz in ihrer Verfügung Rechnung getragen. Demzufolge ist lediglich zu klären, ob sich die Fernhaltemassnahme als inhaltlich gerechtfertigt und verhältnismässig erweist.</w:t>
      </w:r>
    </w:p>
    <w:p>
      <w:r>
        <w:rPr>
          <w:b/>
        </w:rPr>
        <w:t>E. 4.1</w:t>
      </w:r>
    </w:p>
    <w:p>
      <w:r>
        <w:t>Landesrechtliche Grundlage der angefochtenen Verfügung vom 20. April 2018 ist Art. 67 des Ausländer- und Integrationsgesetzes (AIG, SR 142.20). Dieser ist inhaltlich identisch mit Art. 67 des Ausländergesetzes (AuG), welches auf den 1. Januar 2019 hin eine namentliche und inhaltliche Anpassung erfuhr. Die Absätze 1 und 2 dieser Bestimmung zählen eine Reihe von Tatbeständen auf, welche unter Vorbehalt von Absatz 5 ein Einreiseverbot nach sich ziehen oder nach sich ziehen können.</w:t>
      </w:r>
    </w:p>
    <w:p>
      <w:r>
        <w:rPr>
          <w:b/>
        </w:rPr>
        <w:t>E. 4.2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4.3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inhaltlich identisch mit 80 Abs. 1 Bst. a VZAE in der bis zum 31. Dezember 2018 geltenden Fassung).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inhaltlich identisch mit 80 Abs. 2 VZAE in der bis zum 31. Dezember 2018 geltenden Fassung). Bestand ein solches Verhalten in der Vergangenheit, so wird die Gefahr entsprechender künftiger Störungen von Gesetzes wegen vermutet (vgl. Botschaft, a.a.O. S. 3760 sowie Urteil des BVGer F-7649/2016 vom 13. März 2018 E. 3.2 m.H.).</w:t>
      </w:r>
    </w:p>
    <w:p>
      <w:r>
        <w:rPr>
          <w:b/>
        </w:rPr>
        <w:t>E. 5.1</w:t>
      </w:r>
    </w:p>
    <w:p>
      <w:r>
        <w:t>Im vorliegenden Fall hat die Vorinstanz die angefochtene Verfügung mit der Verurteilung des Beschwerdeführers vom 18. März 2015 begründet. Zweifellos stellen die ihr zugrundeliegenden Delikte (vgl. Sachverhalt B) Verstösse gegen die öffentliche Sicherheit und Ordnung dar, was vom Beschwerdeführer auch gar nicht bestritten wird. Allerdings hält er diese - wobei er auf seine an die Vorinstanz gerichtete Stellungnahme vom 19. April 2018 verweist - für nicht so schwerwiegend, dass sie ein Einreiseverbot rechtfertigen könnten. Die abstrakt schwer klingenden Vorwürfe wie versuchte Erpressung und versuchter Raub, so seine Argumentation, dürften nicht als Massstab genommen werden, seien diese Delikte doch schlicht ziemlich idiotische Handlungen eines zu diesem Zeitpunkt in der Entwicklung noch nicht sehr weiten Jugendlichen gewesen. Zudem sei der versuchte Raub nicht als besonders schwere Gewalttat zu verstehen, habe das Opfer doch keine gravierenden Verletzungen erlitten. Dass er diese Tat unter Einfluss von Alkohol, Kokain und Cannabis begangen habe, müsse ebenfalls zu seinen Gunsten berücksichtigt werden.</w:t>
      </w:r>
    </w:p>
    <w:p>
      <w:r>
        <w:rPr>
          <w:b/>
        </w:rPr>
        <w:t>E. 5.2</w:t>
      </w:r>
    </w:p>
    <w:p>
      <w:r>
        <w:t>Besagtes Vorbringen erlaubt allerdings keine günstige Gefahrenprognose, zumal sich bereits das Bundesgericht mit den Argumenten, welche sich der Beschwerdeführer auch im vorliegenden Verfahren zu Unrecht zugutehält, auseinandergesetzt und ein erhebliches Interesse daran, dass er die Schweiz verlässt, bejaht hat (vgl. zitiertes Urteil des BGer 2C_751/2017 E. 3.2 in fine). Insofern hat das Bundesgericht in Übereinstimmung mit der Einschätzung des Strafgerichts festgestellt, dass der Beschwerdeführer bei seinem Raubversuch brutal bzw. rücksichtslos sowie gewaltsam vorging, als er eine zufällig ausgewählte Person angriff, diese mit einem Holzstock und Faustschlägen traktierte und auch von dem wehrlos am Boden liegenden Opfer nicht abliess, sondern ihm weitere Faustschläge sowie mindestens einen Fusstritt in den Oberkörper versetzte. Das Opfer war danach rund zwei Wochen arbeitsunfähig (vgl. zitiertes Urteil des BGer 2C_751/2017 E. 3.1).</w:t>
      </w:r>
    </w:p>
    <w:p>
      <w:r>
        <w:rPr>
          <w:b/>
        </w:rPr>
        <w:t>E. 5.3</w:t>
      </w:r>
    </w:p>
    <w:p>
      <w:r>
        <w:t>Angesichts dieses strafrechtlichen Sachverhalts versucht der Beschwerdeführer umsonst, sein damaliges Handeln zu bagatellisieren. Auch die von ihm erwähnten Strafmilderungsgründe fallen nicht ins Gewicht, haben diese doch - wie auch das Bundesgericht klargestellt hat - nur zu einer leichten Verminderung der Schuldfähigkeit, welche zudem im Strafmass berücksichtigt wurde, geführt. Umso aussagekräftiger ist, dass dem Beschwerdeführer während des Massnahmenvollzugs eine chronifizierte Gewaltbereitschaft, eine dissoziale Persönlichkeitsstörung und eine Suchtproblematik attestiert und daher von einem moderaten bis deutlichen strukturellen Rückfallrisiko für einschlägige Delikte (Raub und Erpressung) ausgegangen wurde (vgl. zitiertes Urteil des BGer 2C_751/2017 E. 3.2). Die darin enthaltene Gefahrenprognose lässt sich auf das vorliegende Verfahren, in welchem es um die Fernhaltung des Beschwerdeführers geht, übertragen.</w:t>
      </w:r>
    </w:p>
    <w:p>
      <w:r>
        <w:rPr>
          <w:b/>
        </w:rPr>
        <w:t>E. 5.4</w:t>
      </w:r>
    </w:p>
    <w:p>
      <w:r>
        <w:t>Die Vorinstanz hat das über den Beschwerdeführer verhängte Einreiseverbot auf fünf Jahre befristet. Die Dauer der Massnahme liegt demzufolge an der obersten Grenze der in Art. 67 Abs. 3 Satz 1 AIG genannten Regelhöchstdauer, welche - gemäss Satz 2 - lediglich dann überschritten werden darf, wenn die betroffene Person eine schwerwiegende Gefahr für die öffentliche Sicherheit und Ordnung darstellt (zu den Voraussetzungen der schwerwiegenden Gefahr bzw. der Anwendbarkeit von Art. 67 Abs. 3 Satz 2 AIG: vgl. insbesondere BGE 139 II 121 E. 6.3 und BVGE 2013/4 E. 7.2.4). Der Beschwerdeführer ist davon nicht weit entfernt. Insoweit ist festzustellen, dass die von ihm begangenen Delikte (vgl. Sachverhalt B) u.a. hochwertige Rechtsgüter wie die körperliche Integrität betrafen. Dabei ging der Beschwerdeführer mindestens im Fall des oben beschriebenen Raubversuchs (E. 5.2) sehr brutal vor und schreckte auch bei anderen Raubüberfällen nicht davor zurück, den ihm körperlich unterlegenen Opfern seine Gewaltbereitschaft zu demonstrieren (dazu ausführlich: Urteil des Verwaltungsgerichts des Kantons Zürich vom 3. Juli 2017 E. 3.3 [Vorakten S. 26 f.]). Angesichts dessen ist das verfügte Einreiseverbot prinzipiell nicht zu beanstanden.</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6.2</w:t>
      </w:r>
    </w:p>
    <w:p>
      <w:r>
        <w:t>Das vom Beschwerdeführer an den Tag gelegte strafbare Verhalten und dessen Begleitumstände indizieren ein erhebliches öffentliches Interesse an der Fernhaltung. Das infolgedessen anzuordnende Einreiseverbot hat vor allem spezialpräventiven Charakter: Während seiner Gültigkeit soll es dem Beschwerdeführer die Möglichkeit nehmen, seine Delinquenz fortzuführen; für die Zeit danach soll es warnend wirken und ihn bei künftigen Einreisen in schweizerisches oder liechtensteinisches Gebiet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w:t>
      </w:r>
    </w:p>
    <w:p>
      <w:r>
        <w:rPr>
          <w:b/>
        </w:rPr>
        <w:t>E. 6.3</w:t>
      </w:r>
    </w:p>
    <w:p>
      <w:r>
        <w:t>Dem öffentlichen Interesse an seiner Fernhaltung sind die privaten Interessen des Beschwerdeführers gegenüberzustellen. Dieser beruft sich in seiner Rechtsmitteleingabe darauf, dass die Schweiz, in der er geboren und aufgewachsen sei, seine eigentliche Heimat sei, Aspekte, welche jedoch schon aufgrund der widerrufenen Niederlassungsbewilligung nicht in Betracht fallen. Seinen in der Schweiz bestehenden verwandtschaftlichen Beziehungen kommt ebenfalls kein entscheidendes Gewicht zu. Derartige Beziehungen können die Verhältnismässigkeit der Massnahme schon deshalb nicht in Frage stellen, weil ansonsten das Instrument des Einreiseverbots gegenüber allen Personen mit Familienangehörigen in der Schweiz per se unzulässig wäre (vgl. Urteil des BGer 2C_270/2015 vom 6. August 2015 E. 8.2). Zudem gehören die in der Schweiz lebenden Verwandten des jetzt 25-jährigen Beschwerdeführers nicht zur Kernfamilie. Dass er die in der Schweiz vorhandenen verwandtschaftlichen und freundschaftlichen Kontakt nicht mehr vor Ort pflegen kann, hat er als zwangsläufige Folge des Einreiseverbots hinzunehmen.</w:t>
      </w:r>
    </w:p>
    <w:p>
      <w:r>
        <w:rPr>
          <w:b/>
        </w:rPr>
        <w:t>E. 6.4</w:t>
      </w:r>
    </w:p>
    <w:p>
      <w:r>
        <w:t>Nach alledem führt die Abwägung der vorliegenden öffentlichen und privaten Interessen zum Ergebnis, dass das auf fünf Jahre befristete Einreiseverbot eine verhältnismässige und angemessene Massnahme zum Schutz der öffentlichen Sicherheit und Ordnung darstellt.</w:t>
      </w:r>
    </w:p>
    <w:p>
      <w:r>
        <w:rPr>
          <w:b/>
        </w:rPr>
        <w:t>E. 7</w:t>
      </w:r>
    </w:p>
    <w:p>
      <w:r>
        <w:t>Die angefochtene Verfügung ist somit bundesrechtskonform (vgl. Art. 49 VwVG). Da das anfänglich noch bestehende Aufenthaltsrecht des Beschwerdeführers in Deutschland mittlerweile dahingefallen ist (vgl. Sachverhalt K), bleibt auch die an das Einreiseverbot anknüpfende Ausschreibung zur Einreiseverweigerung im SIS II rechtlich wirksam (vgl. Art. 21 und Art. 24 Abs. 3 SIS II-Verordnung sowie Art. 20 - 22 der Verordnung über den nationalen Teil des Schengener Informationssystems [N-SIS] und das SIRENE-Büro [N-SIS-Verordnung vom 8. März 2013, SR 362.0]). Die Beschwerde ist demzufolge vollumfänglich abzuweisen.</w:t>
      </w:r>
    </w:p>
    <w:p>
      <w:r>
        <w:rPr>
          <w:b/>
        </w:rPr>
        <w:t>E. 8</w:t>
      </w:r>
    </w:p>
    <w:p>
      <w:r>
        <w:t>Entsprechend dem Ausgang des Verfahrens sind dem Beschwerdeführer die Verfahrenskosten aufzuerlegen (Art. 63 Abs. 1 VwVG und Art. 1 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