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F-3011/2021 vom 6. Juli 2021</w:t>
      </w:r>
    </w:p>
    <w:p>
      <w:r>
        <w:t>Bundesverwaltungsgericht, 2021-07-06, DE</w:t>
      </w:r>
    </w:p>
    <w:p>
      <w:r>
        <w:rPr>
          <w:b/>
        </w:rPr>
        <w:t xml:space="preserve">Quelle: </w:t>
      </w:r>
      <w:r>
        <w:t>https://mcp.opencaselaw.ch/entscheid/bvger_F-3011_2021</w:t>
      </w:r>
    </w:p>
    <w:p>
      <w:r>
        <w:t>FR: TAF F-3011/2021 du 6 juillet 2021</w:t>
      </w:r>
    </w:p>
    <w:p>
      <w:r>
        <w:t>IT: TAF F-3011/2021 del 6 luglio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48 Abs. 1 VwVG). Auf die im Übrigen frist- und formgerecht eingereichte Beschwerde ist - unter Vorbehalt nachfolgender Erwägung - einzutreten (Art. 108 Abs. 3 AsylG und Art. 52 Abs. 1 VwVG).</w:t>
      </w:r>
    </w:p>
    <w:p>
      <w:r>
        <w:rPr>
          <w:b/>
        </w:rPr>
        <w:t>E. 1.3</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 Die Fragen der Anerkennung der Flüchtlingseigenschaft und der Gewährung von Asyl, die Feststellung der Unzulässigkeit, Unzumutbarkeit und Unmöglichkeit des Wegweisungsvollzugs und damit verknüpft die Anordnung einer vorläufigen Aufnahme waren demgegenüber im erstinstanzlichen Verfahren nicht zu prüfen. Sie können folglich nicht zum Thema des Beschwerdeverfahrens gemacht werden, weshalb auf die entsprechenden Rechtsbegehren nicht einzutreten ist.</w:t>
      </w:r>
    </w:p>
    <w:p>
      <w:r>
        <w:rPr>
          <w:b/>
        </w:rPr>
        <w:t>E. 1.4</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Nachdem der Beschwerdeführer illegal über Italien in den Dublin-Raum gelangte und dieser Mitgliedstaat auf entsprechende Anfrage der Vorinstanz einer Übernahme des Beschwerdeführers ausdrücklich zugestimmt hat, ist die grundsätzliche (Aufnahme-) Zuständigkeit Italiens zur Durchführung des Asyl- und Wegweisungsverfahrens des Beschwerdeführers vorliegend gegeben und im Übrigen auch unbestritten (Art. 31a Abs. 1 Bst. b AsylG; Art. 13 Abs. 1 Dublin-III-VO).</w:t>
      </w:r>
    </w:p>
    <w:p>
      <w:r>
        <w:rPr>
          <w:b/>
        </w:rPr>
        <w:t>E. 4</w:t>
      </w:r>
    </w:p>
    <w:p>
      <w:r>
        <w:t>Das Bundesverwaltungsgericht geht in ständiger Rechtsprechung davon aus, dass das italienischen Asylsystem - trotz punktueller Schwachstellen - keine systemischen Mängel im Sinn von Art. 3 Abs. 2 zweiter Satz Dublin-III-VO aufweist (vgl. Referenzurteil E-962/2019 vom 17. Dezember 2019 E. 6.3). Folglich ist die Anwendung von Art. 3 Abs. 2 Dublin-III-VO nicht gerechtfertigt.</w:t>
      </w:r>
    </w:p>
    <w:p>
      <w:r>
        <w:rPr>
          <w:b/>
        </w:rPr>
        <w:t>E. 5</w:t>
      </w:r>
    </w:p>
    <w:p>
      <w:r>
        <w:t>Nachfolgend ist zu prüfen, ob allenfalls das Selbsteintrittsrecht nach Art. 17 Abs. 1 erster Satz Dublin-III-VO, konkretisiert in Art. 29a Abs. 3 der Asylverordnung 1 vom 11. August 1999 (AsylV 1, SR 142.311), auszuüben ist.</w:t>
      </w:r>
    </w:p>
    <w:p>
      <w:r>
        <w:rPr>
          <w:b/>
        </w:rPr>
        <w:t>E. 5.1</w:t>
      </w:r>
    </w:p>
    <w:p>
      <w:r>
        <w:t>Der Beschwerdeführer bringt auf Rechtsmittelebene vor, er habe psychische Probleme und sei an Morbus Behcet erkrankt, weshalb er schlecht sehe. Er leide und habe ständige Schmerzen. Zudem sei erwiesen, dass man in Italien als Dublin-Rückkehrer nicht medizinisch betreut werde, wobei er jedoch auf eine regelmässige medizinische Versorgung angewiesen sei. Gerade gehe es ihm wieder sehr schlecht und es sei zu erwarten, dass sich sein Zustand bei einer Überstellung nach Italien weiter verschlechtern würde. Ohne Garantie der dortigen medizinischen Betreuung dürfe er nicht zurückgeschickt werden.</w:t>
      </w:r>
    </w:p>
    <w:p>
      <w:r>
        <w:rPr>
          <w:b/>
        </w:rPr>
        <w:t>E. 5.2</w:t>
      </w:r>
    </w:p>
    <w:p>
      <w:r>
        <w:t>Aus den vorinstanzlichen Akten geht hervor, dass der Beschwerdeführer aufgrund seiner Morbus Behcet-Erkrankung - einer chronischen Entzündung der Blutgefässe - in der Schweiz medizinisch behandelt wurde. Nach ärztlichen Konsultationen vom 23. April 2021 (vgl. Arztbericht von Dr. med. B._______, Facharzt für Allgemeinmedizin [SEM-act. 19]) sowie vom 3. Mai 2021 (vgl. Arztbericht von Dr. med. C.______, Fachärztin für allgemeine innere Medizin [SEM-act. 20]) wurde der Beschwerdeführer zur weiteren medizinischen Abklärung an einen Rheumatologen überwiesen. Dieser hielt fest, dass die Krankheit gemäss den Verlaufsschilderungen des Beschwerdeführers bereits vor vielen Jahren diagnostiziert worden sei und er an rezidivierenden Aphthen und Ulcera im Bereich der Augen, Mundhöhle und der Genitalien leide. Der Beschwerdeführer habe gemäss eigenen Aussagen seit sieben Monaten keine Medikamente mehr eingenommen. In diesem Zeitraum habe er eine Episode von fünf Tagen mit Mundschleimhautbefall sowie einen Augenbefall mit Einschränkungen des Sehvermögens erlitten. Der Rheumatologe erachtete die Diagnose als plausibel jedoch schwer verifizierbar, da der Beschwerdeführer anlässlich der Untersuchung komplett symptom- und beschwerdefrei war. Letzterer wurde daher aufgefordert, bei einem floriden Schub erneut vorstellig zu werden und erhielt das Medikament Azathioprin zur Anfallsprophylaxe verordnet (Arztbericht des (...)-Zentrums D.______ vom 17. Mai 2021 [SEM-act. 23]). Aktenkundig ist zudem ein vereinbarter Kontrolltermin für den 5. Juli 2021 (SEM-act. 25).</w:t>
      </w:r>
    </w:p>
    <w:p>
      <w:r>
        <w:rPr>
          <w:b/>
        </w:rPr>
        <w:t>E. 5.3</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Urteil E-962/2019 E. 7.4.3). Der Beschwerdeführer fällt jedoch nicht in diese Kategorie. Fest steht, dass eine zwangsweise Rückweisung von Personen mit gesundheitlichen Problemen nur ganz ausnahmsweise einen Verstoss gegen Art. 3 EMRK darstellen kann (zu den Anforderungen vgl. BVGE 2011/9 E. 7 mit Hinweisen auf die damalige Praxis des europäischen Gerichtshofs für Menschenrechte [EGMR] sowie zur neueren Praxis des EGMR das Urteil Paposhvili gegen Belgien vom 13. Dezember 2016, Grosse Kammer 41738/10, §§ 180-193 m.w.H.). Von einem derart gravierenden Krankheitsbild kann beim Beschwerdeführer nicht ausgegangen werden. Zwar ist gemäss dem aktuellen Arztbericht des (...)-Zentrums D.______ eine weitere Kontrolle seines Gesundheitszustands angezeigt (SEM-act. 23). Hingegen liegt kein schweres medizinisches Leiden vor, das nach der Ankunft in Italien eine sofortige und lückenlose medizinische Versorgung im Sinne der Rechtsprechung erfordern würde. Die vom Beschwerdeführer geschilderten Beschwerden bestehen zudem offensichtlich schon seit längerer Zeit, ohne dass beispielsweise seine Reisetätigkeit beeinträchtigt war oder er deswegen auf eine spezielle und lückenlose medizinische Behandlung angewiesen war. So machte er auch nicht geltend, während seines vorangegangenen Aufenthalts in Italien überhaupt um medizinische Behandlung nachgesucht zu haben. Dies gilt umso mehr für die geltend gemachten psychischen Probleme, zumal diese unbelegt geblieben sind. In Anbetracht der gegebenen Umstände war die Vorinstanz entgegen den Beschwerdevorbringen daher auch nicht gehalten, bei den italienischen Behörden individuelle Zusicherungen bezüglich der medizinischen Versorgung einzuholen.</w:t>
      </w:r>
    </w:p>
    <w:p>
      <w:r>
        <w:rPr>
          <w:b/>
        </w:rPr>
        <w:t>E. 5.4</w:t>
      </w:r>
    </w:p>
    <w:p>
      <w:r>
        <w:t>Ferner ist darauf hinzuweisen, dass Italien grundsätzlich über eine ausreichende medizinische Infrastruktur verfügt (vgl. etwa Urteil des BVGer F-2564/2021 vom 9. Juni 2021 E. 7.5 m.H.). Es liegen keine Hinweise vor, dass dem Beschwerdeführer dort eine adäquate medizinische Behandlung verweigert würde. Der Zugang für asylsuchende Personen zum italienischen Gesundheitssystem über die Notversorgung hinaus ist derzeit grundsätzlich gewährleistet, auch wenn es in der Praxis zu zeitlichen Verzögerungen kommen kann (vgl. Urteil E-962/2019 E. 6.2.7). Im Übrigen trägt die Vorinstanz dem aktuellen Gesundheitszustand des Beschwerdeführers bei der Organisation der Überstellung nach Italien Rechnung, indem es die italienischen Behörden vor der Überstellung über seinen Zustand und eine allfällig notwendige medizinische Behandlung informiert.</w:t>
      </w:r>
    </w:p>
    <w:p>
      <w:r>
        <w:rPr>
          <w:b/>
        </w:rPr>
        <w:t>E. 5.5</w:t>
      </w:r>
    </w:p>
    <w:p>
      <w:r>
        <w:t>Zusammenfassend liegt kein Grund für die Anwendung der Ermessensklausel von Art. 17 Dublin-III-VO beziehungsweise Art. 29a Abs. 3 AsylV 1 vor. Weder ist die Schweiz völkerrechtlich verpflichtet, auf das Asylgesuch einzutreten, noch liegen humanitäre Gründe vor, welche einen Selbsteintritt nahelegen würden. Die Vorinstanz ist daher zu Recht auf das Asylgesuch des Beschwerdeführers nicht eingetreten und hat die Überstellung nach Italien angeordnet.</w:t>
      </w:r>
    </w:p>
    <w:p>
      <w:r>
        <w:rPr>
          <w:b/>
        </w:rPr>
        <w:t>E. 6</w:t>
      </w:r>
    </w:p>
    <w:p>
      <w:r>
        <w:t>Die Beschwerde ist abzuweisen, soweit darauf eingetreten werden kann. Der Antrag auf Gewährung der aufschiebenden Wirkung erweist sich mit der Ausfällung des vorliegenden Urteils als gegenstandslos.</w:t>
      </w:r>
    </w:p>
    <w:p>
      <w:r>
        <w:rPr>
          <w:b/>
        </w:rPr>
        <w:t>E. 7</w:t>
      </w:r>
    </w:p>
    <w:p>
      <w:r>
        <w:t>Das Gesuch um Gewährung der unentgeltlichen Prozessführung ist abzuweisen, da die Begehren - wie sich aus den vorstehenden Erwägungen ergibt - als aussichtslos zu bezeichnen waren. Mangels Erfüllung der Voraussetzungen von Art. 65 Abs. 1 VwVG ist das Gesuch um Einsetzung eines amtlichen Rechtsbeistands im Sinne von Art. 102m Abs. 1 Bst. a und Abs. 4 AsylG abzuweisen.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