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F-2993/2018 vom 6. März 2019</w:t>
      </w:r>
    </w:p>
    <w:p>
      <w:r>
        <w:t>Bundesverwaltungsgericht, 2019-03-06, FR</w:t>
      </w:r>
    </w:p>
    <w:p>
      <w:r>
        <w:rPr>
          <w:b/>
        </w:rPr>
        <w:t xml:space="preserve">Quelle: </w:t>
      </w:r>
      <w:r>
        <w:t>https://mcp.opencaselaw.ch/entscheid/bvger_F-2993_2018</w:t>
      </w:r>
    </w:p>
    <w:p>
      <w:r>
        <w:t>FR: TAF F-2993/2018 du 6 mars 2019</w:t>
      </w:r>
    </w:p>
    <w:p>
      <w:r>
        <w:t>IT: TAF F-2993/2018 del 6 marzo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ainsi que les arrêts du TF 2C_2/2016 du 23 août 2016 consid. 1 et 2C_972/2010 du 24 mai 2011 consid. 1.1).</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le recours est recevable (art. 50 et art.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qui sera citée selon sa teneur valable jusqu'au 31 décembre 2018 (cf., dans ce sens, arrêt du TAF F-3709/2017 du 15 janvier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Selon l'art. 99 LEtr (LEI) en relation avec l'art. 40 al. 1 LEtr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Aux termes de l'art. 85 al. 1 OASA,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L'autorité cantonale compétente en matière d'étrangers peut en outre soumettre une décision au SEM pour approbation afin qu'il vérifie si les conditions prévues par le droit fédéral sont remplies (art. 85 al. 3 OASA).</w:t>
      </w:r>
    </w:p>
    <w:p>
      <w:r>
        <w:rPr>
          <w:b/>
        </w:rPr>
        <w:t>E. 4.2</w:t>
      </w:r>
    </w:p>
    <w:p>
      <w:r>
        <w:t>En l'espèce, le SEM avait la compétence d'approuver l'octroi d'une autorisation de séjour en application de l'art. 85 OASA autant dans son ancienne teneur que dans celle en vigueur depuis le 1er septembre 2015 (cf., à ce sujet, ATF 141 II 169 consid. 4 ainsi que l'art. 4 let. d de l'ordonnance du DFJP relative aux autorisations soumises à la procédure d'approbation et aux décisions préalables dans le domaine du droit des étrangers [RS 142.201.1]). Il s'ensuit que ni le SEM, ni a fortiori le Tribunal, ne sont liés par la décision du SPOP du 28 juin 2017 de prolonger l'autorisation de séjour du recourant et peuvent donc s'écarter de l'appréciation faite par l'autorité cantonale.</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w:t>
      </w:r>
    </w:p>
    <w:p>
      <w:r>
        <w:rPr>
          <w:b/>
        </w:rPr>
        <w:t>E. 5.2</w:t>
      </w:r>
    </w:p>
    <w:p>
      <w:r>
        <w:t>En l'espèce, l'examen du dossier amène à constater que les époux ont contracté mariage le 9 janvier 2013 en Algérie, qu'ils ont vécu en communauté conjugale en Suisse depuis l'arrivée du recourant dans ce pays le 15 avril 2013 et qu'ils ont divorcé le 21 décembre 2016. Le recourant ne saurait ainsi se prévaloir de l'art. 42 LEtr ; il ne prétend d'ailleurs pas le contraire.</w:t>
      </w:r>
    </w:p>
    <w:p>
      <w:r>
        <w:rPr>
          <w:b/>
        </w:rPr>
        <w:t>E. 6</w:t>
      </w:r>
    </w:p>
    <w:p>
      <w:r>
        <w:t>Il convient dès lors d'examiner si l'intéressé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 (ATF 137 II 345 consid. 3.1.3 ; arrêt du TF 2C_808/2015 du 23 octobre 2015 consid. 3.1).</w:t>
      </w:r>
    </w:p>
    <w:p>
      <w:r>
        <w:rPr>
          <w:b/>
        </w:rPr>
        <w:t>E. 6.2</w:t>
      </w:r>
    </w:p>
    <w:p>
      <w:r>
        <w:t>Le SEM a retenu que la vie commune des ex-époux avait duré moins de trois ans, puisqu'il ressortait des auditions menées par le SPOP que ceux-ci s'étaient séparés au mois de mai 2015. De la sorte, l'art. 50 al. 1 let. a n'était pas applicable dès lors que l'une des conditions cumulatives n'était pas remplie. Le recourant a déclaré, dans son recours, s'être séparé de son épouse au mois de septembre 2016, comme cela avait été constaté par le jugement de divorce du 21 septembre 2016. Il a argué que le couple avait éprouvé des tensions et avait essayé à plusieurs reprises de prendre de la distance pour se mettre d'accord sur certains points mais que cela n'était pas l'expression d'une volonté définitive de mettre fin à la vie commune. Dans son courrier du 29 novembre 2018, il a en outre expliqué que le couple avait déménagé à plusieurs reprises jusqu'en septembre 2016 et que le nom des deux conjoints apparaissait sur les différents baux à loyer, ce qui prouvait la volonté matrimoniale des intéressés. Au vu de ces éléments, il a affirmé que l'union conjugale avait duré plus de trois ans.</w:t>
      </w:r>
    </w:p>
    <w:p>
      <w:r>
        <w:rPr>
          <w:b/>
        </w:rPr>
        <w:t>E. 6.3</w:t>
      </w:r>
    </w:p>
    <w:p>
      <w:r>
        <w:t>En l'occurrence, la vie commune a débuté à l'arrivée sur le territoire helvétique de l'intéressé, soit le 15 avril 2013, étant rappelé ici que la date de l'obtention de l'autorisation de séjour au titre du regroupement familial n'est pas déterminante pour le calcul du délai de trois ans (arrêt du TF 2C_50/2015 du 26 juin 2015 consid. 3.3.1). Contrairement à ce qu'allègue le recourant, le jugement de divorce ne constate pas que les ex-époux avaient décidé de vivre séparément depuis septembre 2016. Si l'intéressé a informé le SPOP, le 21 juin 2017, qu'il vivait séparé de son ex-épouse depuis cette période (cf. recours du 23 mai 2018, annexe 3), cette dernière a indiqué de manière crédible, lors de son audition, qu'ils étaient « séparés depuis moins d'une année après le mariage, soit fin 2013 » et qu'ils étaient « restés sous le même toit le temps qu'[elle] trouve un nouvel appartement en février 2014 ». A propos de ce nouveau logement, elle a déclaré : « le bail a été pris au nom des deux car c'était le domicile conjugal mais nous ne vivions plus ensemble » (cf. audition de l'ex-épouse du recourant par le SPOP du 29 janvier 2018 ad Q. 4, dossier Symic p. 30). Le recourant a par ailleurs indiqué qu'il était séparé de son ex-épouse dès le mois de mai 2015 et a déclaré : « [n]ous avons signé le bail ensemble mais nous n'étions plus en couple. [...] Elle m'a dit [...] ´je vais t'aider à garder ton permis´ alors devant le juge elle a dit que notre séparation datait du 1er mai 2015. D'ailleurs elle vient de me téléphoner en me disant de vous dire que notre séparation datait du 1er mai 2015 comme elle l'a dit devant le juge [...] » (cf. audition du recourant par le SPOP du 29 janvier 2018 ad Q. 4 et 5, dossier Symic p. 36).</w:t>
      </w:r>
    </w:p>
    <w:p>
      <w:r>
        <w:rPr>
          <w:b/>
        </w:rPr>
        <w:t>E. 6.4</w:t>
      </w:r>
    </w:p>
    <w:p>
      <w:r>
        <w:t>Au vu de ces aveux, il importe peu que le nom de l'intéressé figure sur les différents baux à loyer. Il y a lieu de retenir que la vie commune effective des époux a pris fin au plus tard en mai 2015, de sorte que la communauté conjugale a duré moins de trois ans.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c'est à bon droit que l'autorité inférieure a estimé que l'intéressé ne pouvait invoquer l'art. 50 al. 1 let. a LEtr pour revendiquer le renouvellement de son autorisation de séjour.</w:t>
      </w:r>
    </w:p>
    <w:p>
      <w:r>
        <w:rPr>
          <w:b/>
        </w:rPr>
        <w:t>E. 6.5</w:t>
      </w:r>
    </w:p>
    <w:p>
      <w:r>
        <w:t>Dans la décision querellée, le SEM a encore retenu que le recourant ne pouvait pas non plus se prévaloir de raisons personnelles majeures imposant la poursuite de son séjour en Suisse au sens de l'art. 50 al. 1 let. b et al. 2 LEtr. En effet, celui-ci n'avait obtenu une autorisation de séjour que du seul fait de son mariage célébré en Algérie avec une ressortissante suisse, le 9 janvier 2013. L'intéressé ne pouvait donc se prévaloir d'un séjour particulièrement long en Suisse, pays avec lequel il n'avait en outre pas d'attaches particulières qui y imposeraient la poursuite de son séjour. Au contraire, l'autorité inférieure a estimé qu'il avait conservé des liens étroits avec son pays où il a passé les années déterminantes de son existence. Dans ces circonstances, il n'apparaissait pas que sa réintégration en Algérie serait gravement compromise. Pour sa part, le recourant estime être intégré socialement et professionnellement en Suisse, qualifiant son intégration de hors du commun. Il a également invoqué la protection de sa vie privée, sous l'angle de l'art. 8 CEDH. Il n'aurait plus de contacts en Algérie et sa réintégration dans ce pays serait impossible, puisqu'il avait choisi une femme non conforme aux mandats familiaux et qu'il avait en outre divorcé. Pour cette raison, le recourant a expliqué qu'il ne pourrait être à nouveau accepté par sa famille, ni retrouver son statut professionnel et une vie sociale.</w:t>
      </w:r>
    </w:p>
    <w:p>
      <w:r>
        <w:rPr>
          <w:b/>
        </w:rPr>
        <w:t>E. 6.5.1</w:t>
      </w:r>
    </w:p>
    <w:p>
      <w:r>
        <w:t>Le législateur a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et arrêt du TF 2C_1111/2015 du 9 mai 2016 consid. 5.2).</w:t>
      </w:r>
    </w:p>
    <w:p>
      <w:r>
        <w:rPr>
          <w:b/>
        </w:rPr>
        <w:t>E. 6.5.2</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6.5.3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137 II 345 consid. 3.2.3).</w:t>
      </w:r>
    </w:p>
    <w:p>
      <w:r>
        <w:rPr>
          <w:b/>
        </w:rPr>
        <w:t>E. 6.5.4</w:t>
      </w:r>
    </w:p>
    <w:p>
      <w:r>
        <w:t>Le TF a retenu, contrairement à sa jurisprudence précédente, que la question du droit au respect de la vie privée (art. 8 par. 1 CEDH) devait être examinée dans le cadre d'une approche globale fondée sur l'art. 8 par. 2 CEDH (arrêt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(arrêts du TF 2C_105/2017 consid. 3.9 et 2C_18/2019 du 9 janvier 2019 consid. 2.3).</w:t>
      </w:r>
    </w:p>
    <w:p>
      <w:r>
        <w:rPr>
          <w:b/>
        </w:rPr>
        <w:t>E. 6.5.5</w:t>
      </w:r>
    </w:p>
    <w:p>
      <w:r>
        <w:t>En l'espèce, le recourant séjourne depuis moins de six ans en Suisse et il n'apparaît pas qu'il se soit créé avec ce pays des attaches particulièrement étroites au point de le rendre étranger à son pays d'origine. En effet, le prénommé, arrivé en Suisse à l'âge de vingt-neuf ans, a passé en Algérie son enfance, son adolescence et les premières années de sa vie d'adulte, années qui apparaissent comme essentielles pour la formation de la personnalité et, partant, pour l'intégration sociale et culturelle (ATAF 2007/45 consid. 7.6). Le recourant n'a aucune attache familiale en Suisse ; ses racines socio-culturelles se trouvent à l'évidence dans son pays d'origine, où vit sa famille et où il a travaillé dans l'entreprise familiale (cf. recours du 23 mai 2018 p. 3). Dans ces conditions, l'intéressé a certainement conservé, en Algérie, un cercle d'amis et des connaissances susceptibles de favoriser son retour. Le recourant n'a par ailleurs pas démontré de manière péremptoire que sa réintégration en Algérie serait à ce point compromise au vu de son court séjour en Suisse.</w:t>
      </w:r>
    </w:p>
    <w:p>
      <w:r>
        <w:rPr>
          <w:b/>
        </w:rPr>
        <w:t>E. 6.5.6</w:t>
      </w:r>
    </w:p>
    <w:p>
      <w:r>
        <w:t>Quant aux autres éléments à prendre en considération conformément à l'art. 31 al. 1 OASA, il y a lieu de reconnaître que le recourant est indépendant financièrement et qu'il a exercé différentes activités professionnelles (cf. les contrats et certificats de travail annexés au recours du 23 mai 2018). Cela étant, cette situation ne saurait constituer une intégration plus poussée en comparaison avec d'autres étrangers qui travaillent également en Suisse. En outre, à l'examen des pièces figurant au dossier, il appert que l'intéressé ne s'est pas créé en Suisse des attaches sociales à ce point profondes et durables qu'un retour dans son pays d'origine ne puisse être exigé. Il a certes produit de nombreuses lettres de soutien (cf. annexes au recours du 23 mai 2018), mais celles-ci ne sauraient, à elles seules, constituer un cas individuel d'une extrême gravité.</w:t>
      </w:r>
    </w:p>
    <w:p>
      <w:r>
        <w:rPr>
          <w:b/>
        </w:rPr>
        <w:t>E. 6.5.7</w:t>
      </w:r>
    </w:p>
    <w:p>
      <w:r>
        <w:t>Au vu de l'absence d'intégration particulièrement poussée et de la courte durée de la présence de l'intéressé en Suisse, celui-ci ne saurait en outre se prévaloir de la protection de sa vie privée au sens de l'art. 8 CEDH et de la jurisprudence précitée (cf. consid. 6.5.4 supra).</w:t>
      </w:r>
    </w:p>
    <w:p>
      <w:r>
        <w:rPr>
          <w:b/>
        </w:rPr>
        <w:t>E. 6.5.8</w:t>
      </w:r>
    </w:p>
    <w:p>
      <w:r>
        <w:t>Compte tenu de ce qui précède, le Tribunal estime que la situation du recourant, qui est par ailleurs jeune et en bonne santé, n'est pas constitutive d'une situation d'extrême gravité. C'est dont à bon droit que le SEM a estimé qu'il ne pouvait se prévaloir de raisons personnelles majeures pour prétendre au renouvellement de son autorisation de séjour.</w:t>
      </w:r>
    </w:p>
    <w:p>
      <w:r>
        <w:rPr>
          <w:b/>
        </w:rPr>
        <w:t>E. 6.5.9</w:t>
      </w:r>
    </w:p>
    <w:p>
      <w:r>
        <w:t>Enfin, il n'y a pas lieu d'examiner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6.6</w:t>
      </w:r>
    </w:p>
    <w:p>
      <w:r>
        <w:t>Au vu de ces éléments, le SEM n'a ni excédé ni abusé de son pouvoir d'appréciation en retenant que le recourant ne remplissait pas les conditions de l'art. 50 LEtr et qu'il ne pouvait ainsi prétendre au renouvellement de son autorisation de séjour.</w:t>
      </w:r>
    </w:p>
    <w:p>
      <w:r>
        <w:rPr>
          <w:b/>
        </w:rPr>
        <w:t>E. 7</w:t>
      </w:r>
    </w:p>
    <w:p>
      <w:r>
        <w:t>Dans la mesure où l'intéressé n'a pas obtenu le renouvellement de son autorisation de séjour et qu'il ne peut pas prétendre à l'octroi anticipé d'une autorisation d'établissement en sa faveur, c'est également à bon droit que l'autorité inférieure a prononcé son renvoi de Suisse, conformément à l'art. 64 al. 1 let. c LEtr. En outre, le recourant n'a pas démontré l'existence d'obstacles à son retour en Algérie. Le dossier ne fait pas non plus apparaître que l'exécution de ce renvoi serait impossible, illicite ou inexigible au sens de l'art. 83 al. 2 à 4 LEtr, de sorte que l'instance inférieure était fondée à ordonner l'exécution de cette mesure.</w:t>
      </w:r>
    </w:p>
    <w:p>
      <w:r>
        <w:rPr>
          <w:b/>
        </w:rPr>
        <w:t>E. 8.1</w:t>
      </w:r>
    </w:p>
    <w:p>
      <w:r>
        <w:t>Il ressort de ce qui précède que, par sa décision du 25 avril 2018, l'autorité inférieure n'a ni violé le droit fédéral ni constaté des faits pertinents de manière inexacte ou incomplète ; en outre, cette décision n'est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