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F-2972/2025 vom 27. Juni 2025</w:t>
      </w:r>
    </w:p>
    <w:p>
      <w:r>
        <w:t>Bundesverwaltungsgericht, 2025-06-27, DE</w:t>
      </w:r>
    </w:p>
    <w:p>
      <w:r>
        <w:rPr>
          <w:b/>
        </w:rPr>
        <w:t xml:space="preserve">Quelle: </w:t>
      </w:r>
      <w:r>
        <w:t>https://mcp.opencaselaw.ch/entscheid/bvger_F-2972_2025</w:t>
      </w:r>
    </w:p>
    <w:p>
      <w:r>
        <w:t>FR: TAF F-2972/2025 du 27 juin 2025</w:t>
      </w:r>
    </w:p>
    <w:p>
      <w:r>
        <w:t>IT: TAF F-2972/2025 del 27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und mit summarischer Begründung zu behandeln ist (Art. 111a Abs. 2 AsylG).</w:t>
      </w:r>
    </w:p>
    <w:p>
      <w:r>
        <w:rPr>
          <w:b/>
        </w:rPr>
        <w:t>E. 2.1</w:t>
      </w:r>
    </w:p>
    <w:p>
      <w:r>
        <w:t>Die Vorinstanz hat korrekt erwogen, dass gemäss Art. 20 Abs. 5 Dublin-III-VO grundsätzlich Kroatien für die Weiterführung des Verfahrens und gegebenenfalls für die Behandlung des Asylverfahrens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 wonach er in Kroatien als Tschetschene dem H._______ überstellt und danach ermordet würde -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nichts an der Richtigkeit der angefochtenen Verfügung zu ändern. Seine Ausführungen sowie die wiedergegebenen Berichte zur Situation in Kroatien und zum Refoulement-Verbot vermögen keine systemischen Mängel im Sinne von Art. 3 Abs. 2 Dublin-III-VO zu belegen. Sodann sind den Akten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reine Befürchtung, wonach ihm bei einer Überstellung nach Kroatien eine Rückschaffung nach Russland drohe, genügt jedenfalls nicht, um die grundsätzliche Vermutung umzustossen, wonach Kroatien seinen völkerrechtlichen Verpflichtungen im Rahmen eines Asylverfahrens nachkommt.</w:t>
      </w:r>
    </w:p>
    <w:p>
      <w:r>
        <w:rPr>
          <w:b/>
        </w:rPr>
        <w:t>E. 2.3</w:t>
      </w:r>
    </w:p>
    <w:p>
      <w:r>
        <w:t>Indem die Vorinstanz die Zustimmung zum Wiederaufnahmeersuchen durch Kroatien nicht in den Akten geführt und weder dem Beschwerdeführer noch dem Bundesverwaltungsgericht zugänglich gemacht hat, hat sie sowohl den Anspruch des Beschwerdeführers auf rechtliches Gehör (vgl. Art. 29 VwVG) als auch die Aktenführungspflicht verletzt. Durch die nachträgliche Zustellung der Antwort Kroatiens an den Beschwerdeführer hatte dieser die Möglichkeit, sich im Rahmen der Replik dazu zu äussern, wovon er keinen Gebrauch gemacht hat. Die Verletzung des Anspruchs auf rechtliches Gehör wurde damit nachträglich geheilt.</w:t>
      </w:r>
    </w:p>
    <w:p>
      <w:r>
        <w:rPr>
          <w:b/>
        </w:rPr>
        <w:t>E. 3</w:t>
      </w:r>
    </w:p>
    <w:p>
      <w:r>
        <w:t>Nach dem Gesagten ist die angefochtene Verfügung vom 9. April 2025 nicht zu beanstanden und die Beschwerde ist abzuweisen.</w:t>
      </w:r>
    </w:p>
    <w:p>
      <w:r>
        <w:rPr>
          <w:b/>
        </w:rPr>
        <w:t>E. 4</w:t>
      </w:r>
    </w:p>
    <w:p>
      <w:r>
        <w:t>Mit dem vorliegenden Urteil fällt die aufschiebende Wirkung der Beschwerde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