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F-296/2019 vom 26. Mai 2020</w:t>
      </w:r>
    </w:p>
    <w:p>
      <w:r>
        <w:t>Bundesverwaltungsgericht, 2020-05-26, FR</w:t>
      </w:r>
    </w:p>
    <w:p>
      <w:r>
        <w:rPr>
          <w:b/>
        </w:rPr>
        <w:t xml:space="preserve">Quelle: </w:t>
      </w:r>
      <w:r>
        <w:t>https://mcp.opencaselaw.ch/entscheid/bvger_F-296_2019</w:t>
      </w:r>
    </w:p>
    <w:p>
      <w:r>
        <w:t>FR: TAF F-296/2019 du 26 mai 2020</w:t>
      </w:r>
    </w:p>
    <w:p>
      <w:r>
        <w:t>IT: TAF F-296/2019 del 26 maggio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En l'occurrence, la décision querellée a été prononcée avant l'entrée en vigueur des modifications législatives susmentionnées. Les dispositions applicables à la présente cause n'ont cependant pas subi de modifications susceptibles d'influer sur l'issue de celle-ci. Dans ces conditions, il n'est pas nécessaire de déterminer s'il existe des motifs importants d'intérêt public à même de commander l'application immédiate du nouveau droit et il y a lieu d'appliquer les dispositions topiques dans leur teneur en vigueur jusqu'au 31 décembre 2018 (cf. arrêt F-3300/2017 du 14 mai 2019 consid. 2.2 et les réf. cit.).</w:t>
      </w:r>
    </w:p>
    <w:p>
      <w:r>
        <w:rPr>
          <w:b/>
        </w:rPr>
        <w:t>E. 4.1</w:t>
      </w:r>
    </w:p>
    <w:p>
      <w:r>
        <w:t>L'interdiction d'entrée, qui permet d'empêcher l'entrée ou le retour en Suisse (respectivement dans l'Espace Schengen) d'un étranger dont le séjour y est indésirable (cf. notamment arrêt du TF 6B_173/2013 du 19 août 2013 consid. 2.3), est régie par l'art. 67 LEtr, dans sa teneur en vigueur depuis le 1er janvier 2011 (RO 2010 5925 [5929, 5933]).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4.2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Aux termes de l'art. 80 al. 1 let. a OASA, il y a notamment atteinte à la sécurité et à l'ordre publics en cas de violation de prescriptions légales ou de décisions d'autorités.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parmi d'autres, arrêts du TAF F-1880/2017 du 3 avril 2018 consid. 4.4.3 et réf. cit. ; F-5161/2016 du 11 septembre 2017 consid. 4.2 in fine et les réf. cit.).</w:t>
      </w:r>
    </w:p>
    <w:p>
      <w:r>
        <w:rPr>
          <w:b/>
        </w:rPr>
        <w:t>E. 4.5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5.1</w:t>
      </w:r>
    </w:p>
    <w:p>
      <w:r>
        <w:t>En l'occurrence, l'autorité inférieure a prononcé une décision d'interdiction d'entrée en Suisse d'une durée de trois ans à l'encontre de X._______. Elle a considéré qu'une telle mesure d'éloignement s'imposait en raison des infractions commises par la prénommée en matière de droit des étrangers (séjour illégal dans l'Espace Schengen, en Suisse et en France en particulier) et de la mise en danger de la sécurité et de l'ordre publics, qui en découlait.</w:t>
      </w:r>
    </w:p>
    <w:p>
      <w:r>
        <w:rPr>
          <w:b/>
        </w:rPr>
        <w:t>E. 5.2</w:t>
      </w:r>
    </w:p>
    <w:p>
      <w:r>
        <w:t>A titre préliminaire, le Tribunal constate que la recourante est une ressortissante algérienne, soit originaire d'un Etat tiers, de sorte que le prononcé querellé s'examine à l'aune de la LEtr, les dispositions de l'ALCP n'étant pas applicables au cas d'espèce.</w:t>
      </w:r>
    </w:p>
    <w:p>
      <w:r>
        <w:rPr>
          <w:b/>
        </w:rPr>
        <w:t>E. 5.3</w:t>
      </w:r>
    </w:p>
    <w:p>
      <w:r>
        <w:t>En l'état, le Tribunal retient que la recourante est entrée en Suisse au bénéfice d'un visa Schengen délivré par l'Ambassade de Suisse à Alger, d'une durée de 61 jours, valable du 12 novembre 2015 au 11 janvier 2016. Arrivée le 12 novembre 2015 à l'aéroport de Genève, son séjour dans l'espace Schengen est devenu illégal à partir du 12 janvier 2016, soit au lendemain de la durée du séjour autorisé par ledit visa. L'intéressée a admis n'avoir possédé aucune autorisation idoine lui permettant de séjourner en Suisse ou ailleurs dans l'Espace Schengen après l'échéance de son visa, tout en indiquant vouloir entreprendre des démarches pour l'obtention d'un titre de séjour auprès des autorités françaises afin de vivre auprès de son époux résidant en France (cf. p.-v. d'audition du 29 juin 2017). Elle a aussi reconnu avoir séjourné sur le sol helvétique sans autorisation de séjour et a même indiqué avoir séjourné en France de nombreuses années en concubinage avec un compatriote, titulaire d'un titre de séjour en France, avant de l'épouser en 2018, et n'avoir sollicité la régularisation de sa situation administrative auprès des autorités françaises qu'après ledit mariage (cf. mémoire de recours, points 6 et 8,p. 4 et p. 7 in fine). Or, comme on l'a vu (cf. supra consid. 4.4), le seul fait d'entrer, de séjourner et/ou de travailler en Suisse sans autorisation constitue déjà une violation grave des prescriptions en droit des étrangers justifiant le prononcé d'une mesure d'éloignement à l'endroit de l'étranger concerné.</w:t>
      </w:r>
    </w:p>
    <w:p>
      <w:r>
        <w:rPr>
          <w:b/>
        </w:rPr>
        <w:t>E. 5.4</w:t>
      </w:r>
    </w:p>
    <w:p>
      <w:r>
        <w:t>A ce stade, il s'impose donc de retenir que la recourante, par son comportement délictueux a indiscutablement attenté à la sécurité et à l'ordre publics en Suisse, de sorte qu'elle remplit les conditions d'application de l'art. 67 al. 2 let. a LEtr.</w:t>
      </w:r>
    </w:p>
    <w:p>
      <w:r>
        <w:rPr>
          <w:b/>
        </w:rPr>
        <w:t>E. 6</w:t>
      </w:r>
    </w:p>
    <w:p>
      <w:r>
        <w:t>La recourante a invoqué la protection de la vie familiale et privée garantie par l'art 8 CEDH, dans la mesure où elle est mariée et vit avec une personne titulaire d'un titre de séjour valide en France (cf. mémoire de recours, p. 8).</w:t>
      </w:r>
    </w:p>
    <w:p>
      <w:r>
        <w:rPr>
          <w:b/>
        </w:rPr>
        <w:t>E. 6.1</w:t>
      </w:r>
    </w:p>
    <w:p>
      <w:r>
        <w:t>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arrêt du TF 2C_233/2014 du 18 juillet 2014 consid. 4.1;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précité consid. 1.3.2 et ATF 129 II 11 consid. 2). 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w:t>
      </w:r>
    </w:p>
    <w:p>
      <w:r>
        <w:rPr>
          <w:b/>
        </w:rPr>
        <w:t>E. 6.2</w:t>
      </w:r>
    </w:p>
    <w:p>
      <w:r>
        <w:t>Dans le cas d'espèce, il ressort des pièces du dossier que la recourante a sollicité, le 16 octobre 2018, la régularisation de ses conditions de séjour auprès des autorités françaises compétentes et qu'il lui a été demandé de quitter l'Espace Schengen, dans la mesure où elle faisait l'objet d'un signalement aux fins de non-admission dans le SIS (cf. lettre du Préfet de la Moselle du 19 novembre 2018). Il est à relever qu'il demeure de la compétence des Etats membres d'autoriser la personne concernée à entrer sur leur territoire (respectivement à lui délivrer un titre de séjour) pour des motifs sérieux, d'ordre humanitaire, d'intérêt national ou résultant d'obligations internationales (cf. art. 25 par. 1 CAAS). Selon cette disposition, si le titre de séjour est délivré, la partie contractante signalante procède alors au retrait du signalement, mais peut cependant inscrire cet étranger sur sa liste nationale de signalement (cf. infra consid. 8.2). En l'occurrence, l'intéressée n'a fourni aucune décision des autorités françaises compétentes lui refusant formellement la délivrance d'un titre de séjour pour vivre auprès de son époux algérien résidant en France, ni n'a démontré n'avoir pas pu contester cette décision auprès desdites autorités afin de pouvoir mener une vie familiale auprès de son conjoint en application de l'art. 8 CEDH. En conséquence, il appartient à la recourante, si elle entend s'établir en France auprès de son époux, de solliciter formellement une décision en matière d'autorisation de séjour auprès des autorités françaises et, en cas de refus d'octroi de ladite autorisation, d'en contester la teneur auprès desdites autorités compétentes. ll s'ensuit que l'appréciation de la situation de la recourante opérée sous l'angle de l'art. 8 CEDH dans le cadre de la présente procédure vise seulement à examiner si l'interdiction d'entrée prononcée à son endroit complique de façon disproportionnée le maintien de ses relations avec les membres sa famille résidant en Suisse. Or, force est de constater que la recourante n'a pas établi qu'elle se trouverait dans un état de dépendance défini par la jurisprudence susmentionnée vis-à-vis du membre de sa famille (soeur) résidant en Suisse. Aussi est-ce en vain qu'elle fonde son argumentation sur l'art. 8 CEDH pour s'opposer à l'interdiction d'entrée objet du recours.</w:t>
      </w:r>
    </w:p>
    <w:p>
      <w:r>
        <w:rPr>
          <w:b/>
        </w:rPr>
        <w:t>E. 6.3</w:t>
      </w:r>
    </w:p>
    <w:p>
      <w:r>
        <w:t>Il ressort de ce qui précède que la mesure d'interdiction d'entrée prononcée le 15 août 2017 est parfaitement justifiée dans son principe.</w:t>
      </w:r>
    </w:p>
    <w:p>
      <w:r>
        <w:rPr>
          <w:b/>
        </w:rPr>
        <w:t>E. 7</w:t>
      </w:r>
    </w:p>
    <w:p>
      <w:r>
        <w:t>Cela étant, il convient encore d'examiner si la durée de la mesure d'éloignement prise par le SEM satisfait aux principes de proportionnalité et d'égalité de traitement. Dans le cadre de cet examen-là, l'autorité dispose toujours d'un plein pouvoir d'examen.</w:t>
      </w:r>
    </w:p>
    <w:p>
      <w:r>
        <w:rPr>
          <w:b/>
        </w:rPr>
        <w:t>E. 7.1</w:t>
      </w:r>
    </w:p>
    <w:p>
      <w:r>
        <w:t>En effet, toute mesure d'éloignement doit respecter le principe de la proportionnalité, qui s'impose tant en droit interne (art. 5 al. 2 et 36 al. 3 Cst. et 96 LEtr) qu'au regard de l'art. 8 par. 2 CEDH (ATF 139 II 121 consid. 6.5.1 et 130 II 176 consid. 3.4.2). 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7.2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arrêt du TAF F-5267/2015 du 18 août 2016 consid. 6.1 et les réf. cit.).</w:t>
      </w:r>
    </w:p>
    <w:p>
      <w:r>
        <w:rPr>
          <w:b/>
        </w:rPr>
        <w:t>E. 7.3</w:t>
      </w:r>
    </w:p>
    <w:p>
      <w:r>
        <w:t>En l'espèce, il appert que les motifs retenus à l'appui de la mesure d'éloignement prise à l'endroit de la recourante (séjour illégal de près de seize mois) ne sauraient être contestés (cf. supra consid. 5.2) et que l'infraction aux prescriptions de droit des étrangers doit être qualifiée de grave (cf. supra consid 4.4). Or, compte tenu du nombre élevé de contraventions commises par les étrangers en termes de séjour illégal, les autorités sont contraintes d'intervenir avec sévérité afin d'assurer la stricte application des prescriptions édictées dans ce domaine. Il en va de l'intérêt de l'Etat à voir respecter l'ordre établi et la législation en vigueur (cf. l'arrêt du Tribunal administratif fédéral F-3242/2016 du 9 août 2017 consid. 5.4 et les références citées). Le prononcé d'une interdiction d'entrée paraît donc en adéquation avec la règle de l'aptitude et de la nécessité (cf. aussi supra consid. 7.2). Dans ces conditions, l'intérêt public à l'éloignement de l'intéressée de Suisse doit être qualifié d'important.</w:t>
      </w:r>
    </w:p>
    <w:p>
      <w:r>
        <w:rPr>
          <w:b/>
        </w:rPr>
        <w:t>E. 7.4</w:t>
      </w:r>
    </w:p>
    <w:p>
      <w:r>
        <w:t>Dans le cadre de l'analyse du principe de proportionnalité au sens étroit, l'intérêt privé de la recourante à pouvoir venir en Suisse est un élément qui doit être examiné. Le Tribunal ne saurait toutefois accorder une importance prépondérante aux intérêts privés de l'intéressé liés à la présence en Suisse de membres de sa famille, soit sa soeur. En effet, cette relation ne constitue pas des attaches familiales étroites avec la Suisse, susceptibles d'être protégées par l'art. 8 CEDH (cf. notamment ATF 140 I 77 consid. 5.2; 137 I 113 consid. 6.1; 135 I 143 consid. 1.3.2). Il est à relever également que la recourante pourra toujours garder le contact avec sa soeur par des moyens autres que sa présence physique en Suisse, tels des échanges réguliers par Internet et téléphone, voire des visites par cette dernière auprès de l'intéressée hors de Suisse. Il est encore à noter que le fait que l'époux de la recourante, qui est de nationalité algérienne, réside légalement en France n'est pas à lui seul déterminant pour que cette dernière puisse en tirer un droit quelconque dans le cadre de la mesure d'éloignement prononcée à son endroit, puisqu'elle ne dispose, à la connaissance du Tribunal, d'aucun titre de séjour lui permettant de résider auprès de son époux. Les circonstances précitées doivent en outre être mises en balance avec l'intérêt public à maintenir la recourante éloignée du territoire helvétique au vu de la gravité des infractions commises (arrêt du TF 2C_319/2015 du 10 septembre 2015 consid. 6.2). Or, force est de constater que l'interdiction d'entrée prononcée à l'endroit de l'intéressée est une mesure administrative de contrôle qui tend à le tenir éloignée de la Suisse. Il en va de l'intérêt étatique au respect de l'ordre établi et de la législation en vigueur (arrêt du TAF F-3614/2016 du 16 avril 2018 consid. 8.6). Dès lors, et au vu de ce qui précède, les intérêts privés avancés par la recourante ne sauraient être considérés comme prépondérants par rapport à l'intérêt public à son éloignement.</w:t>
      </w:r>
    </w:p>
    <w:p>
      <w:r>
        <w:rPr>
          <w:b/>
        </w:rPr>
        <w:t>E. 7.5</w:t>
      </w:r>
    </w:p>
    <w:p>
      <w:r>
        <w:t>Partant, le Tribunal arrive à la conclusion que la mesure d'éloignement prise par l'autorité inférieure le 15 août 2017 est nécessaire et adéquate afin de prévenir toute nouvelle atteinte à la sécurité et à l'ordre publics en Suisse. En outre, la durée de la mesure respecte le principe de proportionnalité et correspond à celle prononcée dans des cas analogues (cf., par exemple, arrêt du TAF F-2293/2017 du 27 avril 2018).</w:t>
      </w:r>
    </w:p>
    <w:p>
      <w:r>
        <w:rPr>
          <w:b/>
        </w:rPr>
        <w:t>E. 7.6</w:t>
      </w:r>
    </w:p>
    <w:p>
      <w:r>
        <w:t>Enfin, le Tribunal constate, au vu des développements ci-dessus, qu'il n'existe pas de raisons humanitaires ou d'autres motifs importants justifiant l'abstention ou la suspension de la mesure d'éloignement au sens de l'art. 67 al. 5 LEtr.</w:t>
      </w:r>
    </w:p>
    <w:p>
      <w:r>
        <w:rPr>
          <w:b/>
        </w:rPr>
        <w:t>E. 8</w:t>
      </w:r>
    </w:p>
    <w:p>
      <w:r>
        <w:t>Le SEM a par ailleurs ordonné l'inscription de l'interdiction d'entrée dans le SIS. En raison de ce signalement, il est interdit à la recourante de pénétrer dans l'Espace Schengen jusqu'au 14 août 2020.</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8.2</w:t>
      </w:r>
    </w:p>
    <w:p>
      <w:r>
        <w:t>Compte tenu de l'infraction en droit des étrangers (séjour illégal de plus de seize mois dans l'Espace Schengen) retenues à l'encontre de l'intéressée,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F-2905/2018 du 28 février 2019 consid. 9.1). Dans ce sens, il lui appartient de prononcer une mesure préventive dès qu'elle a connaissance d'un comportement irrespectueux de l'ordre et de la sécurité publics réalisé dans l'espace Schengen, comme en l'occurrence (long séjour illégal en France [cf. procès-verbal d'audition du 29 juin 2017, p. 2 ; mémoire de recours, pt 6, p. 4]), et non encore sanctionné par un autre Etat membre. Il est encore à noter que si la recourante devait être à l'avenir en possession d'un titre de séjour valable en France pour vivre auprès de son époux, il lui incomberait à ce moment-là d'intervenir auprès des autorités compétentes afin d'obtenir la levée de son inscription dans le SIS, en application de l'art. 25 par. 1 CAAS (cf. notamment dans ce sens arrêt du TAF F-2293/2017 du 27 avril 2018 consid. 7).</w:t>
      </w:r>
    </w:p>
    <w:p>
      <w:r>
        <w:rPr>
          <w:b/>
        </w:rPr>
        <w:t>E. 9</w:t>
      </w:r>
    </w:p>
    <w:p>
      <w:r>
        <w:t>Au vu de ce qui précède, le Tribunal de céans considère que l'autorité inférieure, en rendant sa décision du 15 août 2017, n'a ni violé le droit fédéral, ni constaté des faits pertinents de manière inexacte ou incomplète ; en outre, cette décision n'est pas inopportune (art. 49 PA). En conséquence, le recours est rejeté. Vu l'issue du litige, il y a lieu de mettre les frais de la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