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F-2965/2025 vom 9. Mai 2025</w:t>
      </w:r>
    </w:p>
    <w:p>
      <w:r>
        <w:t>Bundesverwaltungsgericht, 2025-05-09, DE</w:t>
      </w:r>
    </w:p>
    <w:p>
      <w:r>
        <w:rPr>
          <w:b/>
        </w:rPr>
        <w:t xml:space="preserve">Quelle: </w:t>
      </w:r>
      <w:r>
        <w:t>https://mcp.opencaselaw.ch/entscheid/bvger_F-2965_2025</w:t>
      </w:r>
    </w:p>
    <w:p>
      <w:r>
        <w:t>FR: TAF F-2965/2025 du 9 mai 2025</w:t>
      </w:r>
    </w:p>
    <w:p>
      <w:r>
        <w:t>IT: TAF F-2965/2025 del 9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Sofern der Beschwerdeführer beantragt, sein Beschwerdeverfahren sei mit den Verfahren F-2956/2025, F-2960/2025 und F-2972/2025 koordiniert zu behandeln, ist dies abzulehnen. Eine koordinierte Behandlung der Verfahren ist nicht angezeigt, da zwischen dem volljährigen Beschwerdeführer und seinen Eltern, seiner Grossmutter sowie seinen (volljährigen und minderjährigen) Geschwistern kein Abhängigkeitsverhältnis besteht - was denn vom Beschwerdeführer auch nicht behauptet wird. Die Beziehung fällt damit nicht in den Schutzbereich des Rechts auf Achtung des Familienlebens gemäss Art. 8 Ziff. 1 EMRK (vgl. auch Art. 16 Abs. 1 Dublin-III-VO). Das vorliegende Urteil ergeht daher unabhängig von den weiteren Beschwerdeverfahren.</w:t>
      </w:r>
    </w:p>
    <w:p>
      <w:r>
        <w:rPr>
          <w:b/>
        </w:rPr>
        <w:t>E. 3</w:t>
      </w:r>
    </w:p>
    <w:p>
      <w:r>
        <w:t>Der Beschwerdeführer rügt eine Verletzung des Anspruchs auf rechtliches Gehör (vgl. Art. 29 VwVG), da die Verfahren koordiniert zu behandeln seien und in den übrigen Verfahren sich die durch die Vorinstanz behauptete Zustimmung des Wiederaufnahmegesuchs durch Kroatien nicht in den Akten befinde. Da das vorliegende Beschwerdeverfahren nicht koordiniert mit den übrigen Beschwerdeverfahren zu behandeln ist (vgl. E. 2) und sich in Bezug auf den Beschwerdeführer die Zustimmung Kroatiens vom 3. April 2025 in den Akten befindet, liegt kein Mangel vor. Es kann offenbleiben, ob bei tatsächlichem Fehlen der Zustimmung des Wiederaufnahmegesuchs durch Kroatien eine Verletzung des rechtlichen Gehörs vorliegen würde.</w:t>
      </w:r>
    </w:p>
    <w:p>
      <w:r>
        <w:rPr>
          <w:b/>
        </w:rPr>
        <w:t>E. 4.1</w:t>
      </w:r>
    </w:p>
    <w:p>
      <w:r>
        <w:t>Die Vorinstanz hat korrekt erwogen, dass gemäss Art. 20 Abs. 5 Dublin-III-VO grundsätzlich Kroatien für die Weiterführung des Verfahrens und gegebenenfalls für die Behandlung des Asylverfahrens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 wonach sich in Kroatien viele «H._______» befinden würden sowie Kroatien mit russischen Behörden zusammenarbeiten und Tschetschenen an Russland überstellen würde -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4.2</w:t>
      </w:r>
    </w:p>
    <w:p>
      <w:r>
        <w:t>Was der Beschwerdeführer auf Rechtsmittelebene vorbringt, vermag nichts an der Richtigkeit der angefochtenen Verfügung zu ändern. Seine Ausführungen sowie die wiedergegebenen Berichte zur Situation in Kroatien und zum Refoulement-Verbot vermögen keine systemischen Mängel im Sinne von Art. 3 Abs. 2 Dublin-III-VO zu belegen. Sodann sind den Akten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reine Befürchtung, wonach ihm bei einer Überstellung nach Kroatien eine Rückschaffung nach Russland drohe, genügt jedenfalls nicht, um die grundsätzliche Vermutung umzustossen, wonach Kroatien seinen völkerrechtlichen Verpflichtungen im Rahmen eines Asylverfahrens nachkommt.</w:t>
      </w:r>
    </w:p>
    <w:p>
      <w:r>
        <w:rPr>
          <w:b/>
        </w:rPr>
        <w:t>E. 5</w:t>
      </w:r>
    </w:p>
    <w:p>
      <w:r>
        <w:t>Nach dem Gesagten ist die angefochtene Verfügung vom 9. April 2025 nicht zu beanstanden und die Beschwerde ist abzuweisen.</w:t>
      </w:r>
    </w:p>
    <w:p>
      <w:r>
        <w:rPr>
          <w:b/>
        </w:rPr>
        <w:t>E. 6</w:t>
      </w:r>
    </w:p>
    <w:p>
      <w:r>
        <w:t>Mit vorliegendem Urteil fällt der am 25. April 2025 angeordnete Vollzugsstopp dahin und der Antrag auf Erteilung der aufschiebenden Wirkung wird gegenstandslos.</w:t>
      </w:r>
    </w:p>
    <w:p>
      <w:r>
        <w:rPr>
          <w:b/>
        </w:rPr>
        <w:t>E. 7</w:t>
      </w:r>
    </w:p>
    <w:p>
      <w:r>
        <w:t>Die Begehren erweisen sich als aussichtslos, weshalb das Gesuch um unentgeltliche Prozessführung (Art. 65 Abs. 1 VwVG) abzuweisen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