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F-295/2023 vom 23. Oktober 2023</w:t>
      </w:r>
    </w:p>
    <w:p>
      <w:r>
        <w:t>Bundesverwaltungsgericht, 2023-10-23, DE</w:t>
      </w:r>
    </w:p>
    <w:p>
      <w:r>
        <w:rPr>
          <w:b/>
        </w:rPr>
        <w:t xml:space="preserve">Quelle: </w:t>
      </w:r>
      <w:r>
        <w:t>https://mcp.opencaselaw.ch/entscheid/bvger_F-295_2023</w:t>
      </w:r>
    </w:p>
    <w:p>
      <w:r>
        <w:t>FR: TAF F-295/2023 du 23 octobre 2023</w:t>
      </w:r>
    </w:p>
    <w:p>
      <w:r>
        <w:t>IT: TAF F-295/2023 del 23 ottobre 2023</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Ergreifung des Rechtsmittels legitimiert (vgl. Art. 48 Abs. 1 VwVG). Auf die frist- und formgerechte Beschwerde ist einzutreten (vgl. Art. 50 Abs. 1 und Art. 52 Abs. 1 VwVG).</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Entscheids (vgl. BVGE 2014/1 E. 2 m.H.).</w:t>
      </w:r>
    </w:p>
    <w:p>
      <w:r>
        <w:rPr>
          <w:b/>
        </w:rPr>
        <w:t>E. 3.1</w:t>
      </w:r>
    </w:p>
    <w:p>
      <w:r>
        <w:t>Nach Art. 67 Abs. 1 Bst. c AIG verfügt das SEM unter Vorbehalt von Abs. 5 derselben Bestimmung ein Einreiseverbot gegenüber ausländischen Personen,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w:t>
      </w:r>
    </w:p>
    <w:p>
      <w:r>
        <w:rPr>
          <w:b/>
        </w:rPr>
        <w:t>E. 3.2</w:t>
      </w:r>
    </w:p>
    <w:p>
      <w:r>
        <w:t>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w:t>
      </w:r>
    </w:p>
    <w:p>
      <w:r>
        <w:rPr>
          <w:b/>
        </w:rPr>
        <w:t>E. 3.3</w:t>
      </w:r>
    </w:p>
    <w:p>
      <w:r>
        <w:t>Gemäss Art. 11 Abs. 1 erster Satz AIG benötigen Ausländerinnen und Ausländer, die in der Schweiz eine Erwerbstätigkeit ausüben wollen, unabhängig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Entgelt ausgeübte unselbständige oder selbständige Tätigkeit, selbst wenn sie unentgeltlich erfolgt (Art. 11 Abs. 2 AIG). Eine Tätigkeit gilt dann als üblicherweise gegen Entgelt verrichtet, wenn sie ihrer Art und ihrem Umfang nach auf dem schweizerischen Arbeits- und Dienstleistungsmarkt angeboten wird (vgl. Urteil des BVGer F-2128/2022 vom 28. November 2022 E. 6.2; Egli/Meyer, in: Caroni et al. [Hrsg.], Handkommentar zum Bundesgesetz über die Ausländerinnen und Ausländer, 2010, Art. 11 N. 6). Ohne Belang für die Qualifikation als Erwerbstätigkeit ist dabei, ob die Beschäftigung nur stunden- oder tageweise oder vorübergehend ausgeübt wird (vgl. Art. 1a und 2 VZAE). Nach ständiger Rechtsprechung des Bundesverwaltungsgerichts ist lediglich dort keine Erwerbstätigkeit im rechtstechnischen Sinne anzunehmen, wo Arbeitsleistungen ausserhalb des geschäftlichen Bereichs eines Begünstigten durch nahe Angehörige vorgenommen werden, wobei massgeblich ist, dass dieser Tätigkeit gerade wegen der verwandtschaftlichen und emotionalen Nähe des Leistungserbringers zum Begünstigten ein besonderer Charakter zukommt, der nicht durch beliebige Dritte ersetzt werden kann. Arbeitsleistungen im gewerblichen Bereich dagegen sind grundsätzlich als Erwerbstätigkeit zu qualifizieren, es sei denn, es komme ihnen eine völlig untergeordnete Bedeutung zu (vgl. Urteil des BVGer F-506/2021 vom 24. November 2021 E. 5.2 m.H.).</w:t>
      </w:r>
    </w:p>
    <w:p>
      <w:r>
        <w:rPr>
          <w:b/>
        </w:rPr>
        <w:t>E. 3.4</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für ein Absehen von einer Fernhaltemassnahme dar (vgl. anstelle vieler Urteil des BVGer F-1934/2022 vom 6. März 2023 E. 4.3 m.H.).</w:t>
      </w:r>
    </w:p>
    <w:p>
      <w:r>
        <w:rPr>
          <w:b/>
        </w:rPr>
        <w:t>E. 3.5</w:t>
      </w:r>
    </w:p>
    <w:p>
      <w:r>
        <w:t>Aus humanitären oder anderen wichtigen Gründen kann ausnahmsweise von der Verhängung eines Einreiseverbots abgesehen oder ein Einreiseverbot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w:t>
      </w:r>
    </w:p>
    <w:p>
      <w:r>
        <w:rPr>
          <w:b/>
        </w:rPr>
        <w:t>E. 4.1</w:t>
      </w:r>
    </w:p>
    <w:p>
      <w:r>
        <w:t>Zur Begründung der angefochtenen Verfügung führte die Vorinstanz aus, dass der Beschwerdeführer in der Schweiz ohne Bewilligung erwerbstätig gewesen sei. Dabei stützte sie sich auf den dem Strafbefehlsverfahren zugrunde gelegten Sachverhalt, wonach der Beschwerdeführer als Zügelhelfer gearbeitet habe.</w:t>
      </w:r>
    </w:p>
    <w:p>
      <w:r>
        <w:rPr>
          <w:b/>
        </w:rPr>
        <w:t>E. 4.2</w:t>
      </w:r>
    </w:p>
    <w:p>
      <w:r>
        <w:t>Der Beschwerdeführer wendete dagegen ein, dass er nicht am Arbeiten gewesen sei, sondern nur einem Angestellten des Zügelunternehmens geholfen habe. Er habe keine Absicht gehabt, einer illegalen Tätigkeit nachzugehen. Zudem könne er aufgrund seiner gesundheitlichen Probleme auch gar nicht richtig arbeiten. Dem beigelegten serbischen Arztzeugnis vom 22. Dezember 2022 sei zu entnehmen, dass er seit mehreren Jahren von einem Psychiater behandelt werde und dauerhaft arbeitsunfähig sei. Im Rahmen der Replik reichte der Beschwerdeführer ein schweizerisches Arztzeugnis vom 17. Mai 2023 nach. Gemäss diesem sei er vom 2. November 2021 bis zum 30. November 2021 aufgrund eines instabilen psychotischen Zustandes in ambulanter psychiatrischer Behandlung gewesen. Aufgrund seines chronischen psychotischen Krankheitsbildes und einer schwerwiegenden Kriegstraumatisierung sei von dauerhaft nicht verwertbarer Arbeitsfähigkeit auszugehen. Zuletzt brachte der Beschwerdeführer vor, dass er die Aussagen der Polizei trotz Übersetzung nicht verstanden habe und im Strafbefehl nichts von einem Einreiseverbot erwähnt gewesen sei.</w:t>
      </w:r>
    </w:p>
    <w:p>
      <w:r>
        <w:rPr>
          <w:b/>
        </w:rPr>
        <w:t>E. 5.1</w:t>
      </w:r>
    </w:p>
    <w:p>
      <w:r>
        <w:t>Gemäss Aktenlage unterstützte der Beschwerdeführer am 16. Dezember 2022 einen Angestellten des Unternehmens D._____ als Zügelhelfer. Er trug und transportierte Möbel von einer Wohnung in E.______ nach F._____.</w:t>
      </w:r>
    </w:p>
    <w:p>
      <w:r>
        <w:rPr>
          <w:b/>
        </w:rPr>
        <w:t>E. 5.2</w:t>
      </w:r>
    </w:p>
    <w:p>
      <w:r>
        <w:t>Der Beschwerdeführer bestreitet diesen Sachverhalt nicht. Durch das Tragen und Transportieren von Möbeln im gewerblichen Bereich hat er eine Handlung getätigt, die üblicherweise der Erzielung eines Entgelts dient. Er hat somit eine Tätigkeit ausgeübt, die unter den in E. 3.3 beschriebenen Begriff der Erwerbstätigkeit fällt. Nicht von Belang ist die vom Beschwerdeführer angeführte Unkenntnis über die Rechtslage bzw. die fehlende Absicht einer illegalen Tätigkeit nachzugehen (vgl. E. 3.4). Auch die eingereichten Arztzeugnisse, welche eine Arbeitsunfähigkeit bzw. nicht verwertbare Arbeitsfähigkeit festhalten, vermögen am festgestellten Sachverhalt nichts zu ändern. Vielmehr führt die Tatsache, dass der Beschwerdeführer als Zügelhelfer gearbeitet hat, zu einer zusätzlichen Entwertung der Arztzeugnisse im vorliegenden Verfahren.</w:t>
      </w:r>
    </w:p>
    <w:p>
      <w:r>
        <w:rPr>
          <w:b/>
        </w:rPr>
        <w:t>E. 5.3</w:t>
      </w:r>
    </w:p>
    <w:p>
      <w:r>
        <w:t>Soweit der Beschwerdeführer geltend macht, dass im Strafbefehl kein Einreiseverbot erwähnt worden sei und die Aussagen der Beamten während der polizeilichen Einvernahme nicht verständlich gewesen seien, ist folgendes festzuhalten: Anlässlich der Einvernahme durch die Kantonspolizei G._____ am 16. Dezember 2022 wurde dem Beschwerdeführer die Möglichkeit eingeräumt, sich zur allfälligen Anordnung einer Fernhaltemassnahme zu äussern. Der Beschwerdeführer bestätigte das Einvernahmeprotokoll sowie dessen Übersetzung durch die anwesende Dolmetscherin mit seiner Unterschrift (vgl. Akten der Vorinstanz [SEM-act.] 1/1 f.). Das rechtliche Gehör betreffend das Einreiseverbot wurde ihm folglich gewährt. Darüber hinaus konnte der Beschwerdeführer seine Einwände vor dem Bundesverwaltungsgericht, das über eine volle Kognition verfügt, erneut geltend machen, weshalb er aus seinem - im Übrigen unsubstantiierten - Vorbringen, die Aussagen während der polizeilichen Einvernahme nicht verstanden zu haben, umso weniger zu seinen Gunsten ableiten kann.</w:t>
      </w:r>
    </w:p>
    <w:p>
      <w:r>
        <w:rPr>
          <w:b/>
        </w:rPr>
        <w:t>E. 5.4</w:t>
      </w:r>
    </w:p>
    <w:p>
      <w:r>
        <w:t>Zusammenfassend ist festzuhalten, dass der Beschwerdeführer im beschriebenen Umfang einer Erwerbstätigkeit im Sinne von Art. 11 Abs. 2 AIG nachgegangen ist. Da er die Tätigkeit ohne die erforderliche Bewilligung ausgeübt hat, hat er gegen die öffentliche Sicherheit und Ordnung verstossen. Der Tatbestand von Art. 67 Abs. 2 Bst. a AIG ist erfüllt, weshalb die Voraussetzungen für den Erlass eines Einreiseverbots gegeben sind.</w:t>
      </w:r>
    </w:p>
    <w:p>
      <w:r>
        <w:rPr>
          <w:b/>
        </w:rPr>
        <w:t>E. 6.1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Allgemeines Verwaltungsrecht, 8. Aufl. 2020, Rz. 555 ff.).</w:t>
      </w:r>
    </w:p>
    <w:p>
      <w:r>
        <w:rPr>
          <w:b/>
        </w:rPr>
        <w:t>E. 6.2</w:t>
      </w:r>
    </w:p>
    <w:p>
      <w:r>
        <w:t>Der Beschwerdeführer hat, wie festgestellt, durch Erwerbstätigkeit ohne Bewilligung in der Schweiz gegen die öffentliche Sicherheit und Ordnung im Sinne von Art. 67 Abs. 2 Bst. a AIG verstossen. Dieses Fehlverhalten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F-1934/2022 vom 6. März 2023 E. 7.2). Diesbezüglich ist darauf hinzuweisen, dass die Anordnung des Einreiseverbots gegen den Beschwerdeführer bereits aus spezialpräventiven Gründen angezeigt ist, um ihn bei künftigen Aufenthalten in der Schweiz von der erneuten Gefährdung der öffentlichen Sicherheit und Ordnung abzuhalten. Zu berücksichtigen ist zudem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Gastlandes zu halten. Es besteht demnach ein general- und spezialpräventiv motiviertes Interesse an der Fernhaltung des Beschwerdeführers.</w:t>
      </w:r>
    </w:p>
    <w:p>
      <w:r>
        <w:rPr>
          <w:b/>
        </w:rPr>
        <w:t>E. 6.3</w:t>
      </w:r>
    </w:p>
    <w:p>
      <w:r>
        <w:t>Den öffentlichen Fernhalteinteressen sind die privaten Interessen des Beschwerdeführers gegenüber zu stellen. Diese bestehen im Besuch seiner Schwester in der Schweiz, bei welcher er sich gemäss Beschwerde jeweils gut erholt.</w:t>
      </w:r>
    </w:p>
    <w:p>
      <w:r>
        <w:rPr>
          <w:b/>
        </w:rPr>
        <w:t>E. 6.4</w:t>
      </w:r>
    </w:p>
    <w:p>
      <w:r>
        <w:t>Dieses Vorbringen vermag das vorliegend festgestellte öffentliche Fernhalteinteresse nicht entscheidend zu relativieren. Die vorübergehende Einschränkung hat der Beschwerdeführer selbst zu verantworten und grundsätzlich in Kauf zu nehmen. Darüber hinaus ist sie insoweit nicht erheblich, als der Kontakt für limitierte Zeit auch anders als durch Einreisen in die Schweiz, beispielsweise mittels moderner Kommunikationsmittel oder Besuchen der Schwester in Serbien, zu verwirklichen ist.</w:t>
      </w:r>
    </w:p>
    <w:p>
      <w:r>
        <w:rPr>
          <w:b/>
        </w:rPr>
        <w:t>E. 6.5</w:t>
      </w:r>
    </w:p>
    <w:p>
      <w:r>
        <w:t>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 Mithin genügt die Massnahme auch den Eingriffsvoraussetzungen von Art. 8 Ziff. 2 EMRK, soweit sie den Schutzbereich des grundrechtlichen Anspruchs auf Achtung des Familienlebens überhaupt tangiert.</w:t>
      </w:r>
    </w:p>
    <w:p>
      <w:r>
        <w:rPr>
          <w:b/>
        </w:rPr>
        <w:t>E. 7.1</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[hier noch anwendbaren] Verordnung [EG] Nr. 1987/2006 vom 20. Dezember 2006 über die Einrichtung, den Betrieb und die Nutzung des SIS-II, Abl. L 381/4 vom 28.12.2006 [SIS-II-VO] [abgelöst durch: Art. 21 und 24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vgl. diesbezüglich Art. 65]; Art. 21 der Verordnung vom 8. März 2013 über den nationalen Teil des Schengener Informationssystems [N-SIS] und das SIRENE-Büro [N-SIS-Verordnung; SR 362.0]).</w:t>
      </w:r>
    </w:p>
    <w:p>
      <w:r>
        <w:rPr>
          <w:b/>
        </w:rPr>
        <w:t>E. 7.2</w:t>
      </w:r>
    </w:p>
    <w:p>
      <w:r>
        <w:t>Der Beschwerdeführer ist serbischer Staatsangehöriger und damit Drittstaatsangehöriger im Sinne von Art. 3 Bst. d SIS-II-VO. Aufgrund der Ausschreibung im SIS ist es ihm untersagt, den Schengen-Raum zu betreten. In Anbetracht des Verstosses gegen die öffentliche Sicherheit und Ordnung durch die Erwerbstätigkeit ohne Bewilligung in der Schweiz und mangels substantiierter Darlegung oder anderweitiger Ersichtlichkeit diesbezüglich erheblicher privater Interessen ist die Ausschreibung zu Recht erfolgt und verhältnismässig (vgl. Art. 21 i.V.m. Art. 24 Abs. 3 SIS-II-VO).</w:t>
      </w:r>
    </w:p>
    <w:p>
      <w:r>
        <w:rPr>
          <w:b/>
        </w:rPr>
        <w:t>E. 8</w:t>
      </w:r>
    </w:p>
    <w:p>
      <w:r>
        <w:t>Aus den vorstehenden Erwägungen ergibt sich, dass die angefochtene Verfügung im Lichte von Art. 49 VwVG nicht zu beanstanden ist. Die Beschwerde ist abzuweisen.</w:t>
      </w:r>
    </w:p>
    <w:p>
      <w:r>
        <w:rPr>
          <w:b/>
        </w:rPr>
        <w:t>E. 9</w:t>
      </w:r>
    </w:p>
    <w:p>
      <w:r>
        <w:t>Angesichts des Verfahrensausgangs sind die Kosten dem unterliegenden Beschwerdeführer aufzuerlegen (vgl. Art. 63 Abs. 1 VwVG i.V.m. Art. 1 ff. des Reglements vom 21. Februar 2008 über die Kosten und Entschädigungen vor dem Bundesverwaltungsgericht [VGKE, SR 173.320.2]). Sie sind durch den geleisteten Kostenvorschuss gedeckt. Eine Parteientschädigung steht dem Beschwerdeführer nicht zu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