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F-2954/2022 vom 13. Juli 2022</w:t>
      </w:r>
    </w:p>
    <w:p>
      <w:r>
        <w:t>Bundesverwaltungsgericht, 2022-07-13, DE</w:t>
      </w:r>
    </w:p>
    <w:p>
      <w:r>
        <w:rPr>
          <w:b/>
        </w:rPr>
        <w:t xml:space="preserve">Quelle: </w:t>
      </w:r>
      <w:r>
        <w:t>https://mcp.opencaselaw.ch/entscheid/bvger_F-2954_2022</w:t>
      </w:r>
    </w:p>
    <w:p>
      <w:r>
        <w:t>FR: TAF F-2954/2022 du 13 juillet 2022</w:t>
      </w:r>
    </w:p>
    <w:p>
      <w:r>
        <w:t>IT: TAF F-2954/2022 del 13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Nachdem die französischen Behörden innert der in Art. 22 Abs. 1 Dublin-III-VO festgelegten Frist dem Aufnahmeersuchen der Vorinstanz zugestimmt haben, ist die Zuständigkeit Frankreichs grundsätzlich gegeben.</w:t>
      </w:r>
    </w:p>
    <w:p>
      <w:r>
        <w:rPr>
          <w:b/>
        </w:rPr>
        <w:t>E. 4.2</w:t>
      </w:r>
    </w:p>
    <w:p>
      <w:r>
        <w:t>Der Vollständigkeit halber ist in Bezug auf die Ausführungen der Vor-instanz zur Tatsache, dass der Beschwerdeführer zunächst in Österreich um Asyl ersucht hat, Folgendes festzuhalten: Die Vorinstanz führt aus, dass ohne Berücksichtigung der Familie des Beschwerdeführers mutmasslich die Schweiz für dessen Asylverfahren zuständig wäre, da die Zuständigkeit Österreichs erloschen sei. Gemäss Art. 19 Abs. 2 Dublin-III-VO erlischt die Pflicht eines Mitgliedstaates zur Wiederaufnahme eines Antragstellers, wenn der zuständige Mitgliedstaat nachweisen kann, dass der Antragsteller das Hoheitsgebiet der Mitgliedstaaten für mindestens drei Monate verlassen hat. Der Beschwerdeführer führt keinerlei Belege für seinen angeblich mehr als zweijährigen Aufenthalt in Serbien an und konnte anlässlich des Dublin-Gesprächs auch keine detaillierten Angaben über seine Reise dorthin machen. Er führte lediglich aus, er habe aus Angst vor einer Ausschaffung nach Serbien alles weggeworfen. Angesichts dieser pauschalen Ausführungen ist es nicht nachvollziehbar, dass die Vorinstanz offenbar davon ausgeht, der Beschwerdeführer habe einen Aufenthalt ausserhalb des Dublin-Raums glaubhaft gemacht. Folglich würde - selbst wenn Frankreich nicht für das Asylverfahren des Beschwerdeführers zuständig wäre - nicht automatisch eine Übertragung der Zuständigkeit auf die Schweiz nach Art. 19 Abs. 2 Dublin-III-VO erfolgen, zumal zunächst die Zuständigkeit Österreichs zu prüfen wäre.</w:t>
      </w:r>
    </w:p>
    <w:p>
      <w:r>
        <w:rPr>
          <w:b/>
        </w:rPr>
        <w:t>E. 4.3</w:t>
      </w:r>
    </w:p>
    <w:p>
      <w:r>
        <w:t>Der Beschwerdeführer bringt in seiner Rechtsmitteleingabe betreffend Zuständigkeit vor, der Sachverhalt habe sich inzwischen geändert. Seine Tochter und seine Frau würden sich seit Kurzem nicht mehr in der Schweiz befinden. Ihr Aufenthaltsort sei ihm nicht bekannt, aber sie seien wahrscheinlich aus dem Schengen-Raum ausgereist. Seine Frau habe zu ihm gesagt, sie wolle nicht, dass sein Asylgesuch in der Schweiz ihretwegen gefährdet sei. Mit diesen Worten habe sie sich von ihm verabschiedet. Der angefochtene Entscheid basiere auf dem französischen Visum seiner Frau. Er selbst erfülle gemäss Ausführungen der Vorinstanz die Voraussetzungen für ein Asylverfahren in der Schweiz und sei einzig aufgrund der gemeinsamen Antragstellung mit seiner Familie in das Dublin-Verfahren seiner Ehefrau einbezogen worden. Angesichts ihres Verschwindens bitte er darum, dass die Schweiz auf sein Asylgesuch eintrete und sein Asylverfahren unabhängig von dem seiner Familie durchgeführt werde.</w:t>
      </w:r>
    </w:p>
    <w:p>
      <w:r>
        <w:rPr>
          <w:b/>
        </w:rPr>
        <w:t>E. 4.4</w:t>
      </w:r>
    </w:p>
    <w:p>
      <w:r>
        <w:t>Der Beschwerdeführer, der im Rahmen des vorinstanzlichen Verfahrens noch betont hat, wie wichtig es für ihn sei, mit seiner - gemäss eigenen Aussagen - religiös angetrauten Frau und deren Kind zusammen sein zu können, ändert im Beschwerdeverfahren plötzlich seine Argumentation und beantragt eine Behandlung seines Asylgesuchs unabhängig von seiner Familie. Dies hängt mit einiger Wahrscheinlichkeit mit den Ausführungen der Vorinstanz zur (hypothetischen) Zuständigkeit der Schweiz für sein Asylverfahren zusammen. Abgesehen davon, dass keine konkrete Zuständigkeit der Schweiz ersichtlich ist (vgl. E. 5.2.), ist das Vorgehen des Beschwerdeführers als rechtsmissbräuchlich zu qualifizieren. Entgegen seinen möglichen Erwartungen kann er aus dem angeblichen Untertauchen seiner Familie nichts zu seinen Gunsten ableiten. Wie bereits erwähnt, haben die französischen Behörden dem Ersuchen der Vorinstanz zur Aufnahme des Beschwerdeführers fristgemäss zugestimmt. Es spielt dabei keine Rolle, ob er zeitgleich mit B._______ und deren Tochter oder unabhängig von diesen nach Frankreich überstellt wird, zumal die Zustimmung Frankreichs ohnehin in separaten Schreiben festgehalten ist.</w:t>
      </w:r>
    </w:p>
    <w:p>
      <w:r>
        <w:rPr>
          <w:b/>
        </w:rPr>
        <w:t>E. 5.1</w:t>
      </w:r>
    </w:p>
    <w:p>
      <w:r>
        <w:t>Im Weiteren führt der Beschwerdeführer aus, die Situation in Frankreich sei sehr schlecht. Bei einer Überstellung dorthin drohe ihm aufgrund fehlender Unterbringungskapazitäten eine Verletzung von Art. 3 EMRK. Gemäss neuestem AIDA-Bericht sowie weiterer Organisationen hätten Dublin-Rückkehrende nach ihrer Überstellung nach Frankreich meist keinen Zugang zu einer Unterkunft. Laut Schätzungen von Organisationen vor Ort würden lediglich die Hälfte aller Asylsuchenden einen Unterkunftsplatz erhalten. Da Asylsuchende erst ab dem Moment der offiziellen Registrierung ihres Asylgesuchs einen Anspruch auf Unterbringung hätten und die Termine für die Registrierung schwierig zu bekommen seien, müssten viele Personen des Dublin-Systems auf der Strasse leben. Er habe keinerlei Beziehungsnetz in Frankreich und würde dort keine Unterstützung erhalten.</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An dieser Einschätzung vermögen die Hinweise in der Beschwerde auf Berichte über die allgemeine Situation für Asylsuchende in Frankreich nichts zu ändern. Darüber hinaus ist darauf hinzuweisen, dass in der vom Beschwerdeführer zitierten Passage des AIDA-Berichts nicht erwähnt ist, dass Asylsuchende in Frankreich keinen Zugang zu einer Unterkunft erhalten. Vielmehr wird beschrieben, dass Rückkehrer aus Dublin-Staaten bei ihrer Ankunft am Flughafen von der Polizei oder den Flughafenbehörden an das Notaufnahmezentrum des Roten Kreuzes verwiesen werden. Als problematisch wird beschrieben, dass Asylbewerber selbstständig in die für sie zuständigen Präfekturen gelangen müssten. Der Bericht zeigt folglich auf, dass es in Frankreich zuständige Stellen gibt, an die sich asylsuchende Rückkehrer wenden können. Die Behauptung des Beschwerdeführers, er werde in Frankreich keine Unterstützung erhalten, ist somit nicht nachvollziehbar. Gemäss bundesverwaltungsgerichtlicher Praxis weisen das Asylverfahren und das Aufnahmesystem in Frankreich keine systematischen Mängel auf, welche eine Anwendung von Art. 3 Abs. 2 Dublin-III-VO rechtfertigen würden (Urteile des BVGer F-4191/2021 vom 29. September 2021 E. 4.2; E-2905/2021 vom 29. Juni 2021 E. 5.1; F-3467/2021 vom 10. August 2021 E. 5.2).</w:t>
      </w:r>
    </w:p>
    <w:p>
      <w:r>
        <w:rPr>
          <w:b/>
        </w:rPr>
        <w:t>E. 5.3</w:t>
      </w:r>
    </w:p>
    <w:p>
      <w:r>
        <w:t>Der Beschwerdeführer hat darüber hinaus kein konkretes und ernsthaftes Risiko dargetan, dass die französischen Behörden in seinem Fall ihren völkerrechtlichen Verpflichtungen nicht nachkommen würden. Er erhebt diesbezüglich auch keine Einwände. Nichtsdestotrotz ist festzuhalten, dass Frankreich ein funktionierender Rechtsstaat ist und die Behörden grundsätzlich gewillt und fähig sind, staatlichen Schutz zu gewähren. Auch unter dem Blickwinkel von Art. 29a Abs. 3 AsylV 1 erscheint ein Selbsteintritt nicht angezeigt. Die Aussage des Beschwerdeführers anlässlich des Dublin-Gesprächs, eine Überstellung nach Frankreich würde bei ihm ein Trauma auslösen, ist nicht nachvollziehbar, zumal er offensichtlich noch gar nie in Frankreich war.</w:t>
      </w:r>
    </w:p>
    <w:p>
      <w:r>
        <w:rPr>
          <w:b/>
        </w:rPr>
        <w:t>E. 5.4</w:t>
      </w:r>
    </w:p>
    <w:p>
      <w:r>
        <w:t>Zusammenfassend ist die Schweiz weder völkerrechtlich verpflichtet, auf das Asylgesuch einzutreten, noch liegen humanitäre Gründe vor, welche einen Selbsteintritt nahelegen würden.</w:t>
      </w:r>
    </w:p>
    <w:p>
      <w:r>
        <w:rPr>
          <w:b/>
        </w:rPr>
        <w:t>E. 6</w:t>
      </w:r>
    </w:p>
    <w:p>
      <w:r>
        <w:t>Die Vorinstanz ist demnach zu Recht gestützt auf Art. 31a Abs. 1 Bst. b AsylG auf das Asylgesuch des Beschwerdeführers nicht eingetreten und hat seine Wegweisung nach Frankreich angeordnet.</w:t>
      </w:r>
    </w:p>
    <w:p>
      <w:r>
        <w:rPr>
          <w:b/>
        </w:rPr>
        <w:t>E. 7</w:t>
      </w:r>
    </w:p>
    <w:p>
      <w:r>
        <w:t>Nach dem Gesagten ist die Beschwerde abzuweisen. Mit dem vorliegenden Urteil fällt der am 7. Juli 2022 angeordnete Vollzugsstopp dahin. Das Gesuch um Erteilung der aufschiebenden Wirkung ist gegenstandslos geworden.</w:t>
      </w:r>
    </w:p>
    <w:p>
      <w:r>
        <w:rPr>
          <w:b/>
        </w:rPr>
        <w:t>E. 8.1</w:t>
      </w:r>
    </w:p>
    <w:p>
      <w:r>
        <w:t>Die gestellten 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