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F-2952/2020 vom 15. November 2021</w:t>
      </w:r>
    </w:p>
    <w:p>
      <w:r>
        <w:t>Bundesverwaltungsgericht, 2021-11-15, FR</w:t>
      </w:r>
    </w:p>
    <w:p>
      <w:r>
        <w:rPr>
          <w:b/>
        </w:rPr>
        <w:t xml:space="preserve">Quelle: </w:t>
      </w:r>
      <w:r>
        <w:t>https://mcp.opencaselaw.ch/entscheid/bvger_F-2952_2020</w:t>
      </w:r>
    </w:p>
    <w:p>
      <w:r>
        <w:t>FR: TAF F-2952/2020 du 15 novembre 2021</w:t>
      </w:r>
    </w:p>
    <w:p>
      <w:r>
        <w:t>IT: TAF F-2952/2020 del 15 novembre 2021</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la prolongation d'une autorisation de séjour et de renvoi prononcées par le SEM - lequel constitue une unité de l'administration fédérale telle que définie à l'art. 33 let. d LTAF - sont en principe susceptibles de recours au Tribunal, qui statue comme autorité précédant le Tribunal fédéral (ci-après: le TF ; cf. art. 1 al. 2 LTAF en relation avec l'art. 83 let. c ch. 2 a contrario LTF [RS 173.110]).</w:t>
      </w:r>
    </w:p>
    <w:p>
      <w:r>
        <w:rPr>
          <w:b/>
        </w:rPr>
        <w:t>E. 1.3</w:t>
      </w:r>
    </w:p>
    <w:p>
      <w:r>
        <w:t>A moins que la LTAF n'en dispose autrement, la procédure devant le Tribunal est régie par la PA (cf. art. 37 LTAF).</w:t>
      </w:r>
    </w:p>
    <w:p>
      <w:r>
        <w:rPr>
          <w:b/>
        </w:rPr>
        <w:t>E. 1.4</w:t>
      </w:r>
    </w:p>
    <w:p>
      <w:r>
        <w:t>Le recourant a qualité pour recourir (art. 48 al. 1 PA). S'agissant de la forme dans laquelle le recours a été présenté, il ressort notamment de l'art. 52 al. 1 PA que le mémoire de recours doit indiquer des conclusions. Dans son pourvoi du 5 juin 2020, le recourant - pourtant assisté d'un mandataire professionnel - conclut, sur le fond, à l'annulation de la décision attaquée et au renvoi de la cause à l'autorité inférieure pour nouvelle décision dans le sens des considérants. Bien que cette formulation puisse laisser penser que le recourant ne requiert pas la réforme de la décision entreprise, les motifs développés dans le mémoire de recours permettent de comprendre que l'intéressé demande au Tribunal de statuer lui-même sur l'affaire (art. 61 al. 1 PA). Il sera donc renoncé à impartir au recourant un court délai pour régulariser son recours en ce sens (cf. art. 52 al. 2 PA). Partant, il s'agit d'admettre que le recours a été présenté dans la forme prescrite par la loi (52 al. 1 PA). Le recours, également introduit dans le délai (art. 50 al. 1 PA), est donc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l'arrêt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l'octroi d'une autorisation de séjour en application de l'art. 85 OASA (cf. ATF 141 II 169 consid. 4). Il s'ensuit que, ni le SEM, ni a fortiori le Tribunal, ne sont liés par la décision du SPOP du 27 septembre 2019 de prolonger l'autorisation de séjour de l'intéressé et peuvent s'écarter de l'appréciation faite par l'autorité cantonale.</w:t>
      </w:r>
    </w:p>
    <w:p>
      <w:r>
        <w:rPr>
          <w:b/>
        </w:rPr>
        <w:t>E. 4</w:t>
      </w:r>
    </w:p>
    <w:p>
      <w:r>
        <w:t>L'objet du litige porte sur la question de savoir si c'est à juste titre que l'autorité inférieure a refusé de donner son approbation à la prolongation de l'autorisation de séjour du recourant et prononcé son renvoi.</w:t>
      </w:r>
    </w:p>
    <w:p>
      <w:r>
        <w:rPr>
          <w:b/>
        </w:rPr>
        <w:t>E. 4.1</w:t>
      </w:r>
    </w:p>
    <w:p>
      <w:r>
        <w:t>Selon l'art. 42 LEI, le conjoint étranger d'un ressortissant suisse a droit à l'octroi d'une autorisation de séjour et à la prolongation de sa durée de validité à condition de faire ménage commun avec lui.</w:t>
      </w:r>
    </w:p>
    <w:p>
      <w:r>
        <w:rPr>
          <w:b/>
        </w:rPr>
        <w:t>E. 4.2</w:t>
      </w:r>
    </w:p>
    <w:p>
      <w:r>
        <w:t>En l'espèce, il appert que les époux ont contracté mariage le 2 janvier 2016 au Sénégal (cf. dossier civil cantonal, p. 331 s.). Par convention ratifiée valant ordonnance de mesures protectrices de l'union conjugale signée à l'audience du 9 mai 2018, ils ont notamment convenu de vivre séparés pour une durée indéterminée, étant précisé que la séparation effective remontait au 25 février 2018 (cf. dossier civil cantonal, p. 33). Vu que les intéressés ne font plus ménage commun, le recourant ne saurait se prévaloir de l'art. 42 al. 1 LEI.</w:t>
      </w:r>
    </w:p>
    <w:p>
      <w:r>
        <w:rPr>
          <w:b/>
        </w:rPr>
        <w:t>E. 5</w:t>
      </w:r>
    </w:p>
    <w:p>
      <w:r>
        <w:t>Il convient dès lors d'examiner si l'intéressé peut se prévaloir d'un droit au renouvellement de son autorisation de séjour en vertu de l'art. 50 LEI.</w:t>
      </w:r>
    </w:p>
    <w:p>
      <w:r>
        <w:rPr>
          <w:b/>
        </w:rPr>
        <w:t>E. 5.1</w:t>
      </w:r>
    </w:p>
    <w:p>
      <w:r>
        <w:t>L'art. 50 al. 1 LEI prévoit qu'après dissolution de la famille, le droit du conjoint à l'octroi d'une autorisation de séjour et à la prolongation de sa durée de validité en vertu des art. 42 et 43 LEI subsiste si l'union conjugale a duré au moins trois ans et que l'intégration est réussie (let. a) ou si la poursuite du séjour en Suisse s'impose pour des raisons personnelles majeures (let. b). L'art. 50 al. 1 let. a LEI confère donc à l'étranger, dont l'union conjugale a duré au moins trois ans et dont l'intégration en Suisse est réussie, un droit au renouvellement de son autorisation de séjour, les cas de rigueur de l'art. 50 al. 1 let. b LEI étant plus spécialement prévus pour les situations dans lesquelles les conditions de l'art. 50 al. 1 let. a LEI ne sont pas réalisées (ATF 138 II 393 consid. 3.1 et 137 II 345 consid. 3.2.1). Les deux conditions posées par l'art. 50 al. 1 let. a LEI sont cumulatives (ATF 140 II 345 consid. 4 et 136 II 113 consid. 3.3.3). La période minimale de trois ans de l'union conjugale commence à courir dès le début de la cohabitation effective des époux en Suisse et s'achève au moment où ceux-ci cessent de faire ménage commun (ATF 140 II 345 consid. 4.1 et 138 II 229 consid. 2). Cette durée minimale est une limite absolue en-deçà de laquelle l'art. 50 al. 1 let. a LEI ne saurait être appliqué (ATF 137 II 345 consid. 3.1.3 ; arrêt du TF 2C_808/2015 du 23 octobre 2015 consid. 3.1).</w:t>
      </w:r>
    </w:p>
    <w:p>
      <w:r>
        <w:rPr>
          <w:b/>
        </w:rPr>
        <w:t>E. 5.2</w:t>
      </w:r>
    </w:p>
    <w:p>
      <w:r>
        <w:t>En l'occurrence, il apparaît que le recourant a formé une communauté conjugale avec son épouse dès son arrivée en Suisse, soit le 14 mai 2016 (cf. dossier civil cantonal, p. 163). Il ressort de la convention conclue entre les parties à l'audience par-devant le Tribunal d'arrondissement du 9 mai 2018 que la séparation effective a eu lieu le 25 février 2018 (cf. dossier civil cantonal, p. 442). Dès lors, l'union conjugale des intéressés a duré 1 an 9 mois et 11 jours, ce qui est donc inférieur à la limite des trois ans prévue à l'art. 50 al. 1 let. a LEI. L'art. 50 al. 1 let. a LEI ne saurait partant trouver application dans le cas d'espèce.</w:t>
      </w:r>
    </w:p>
    <w:p>
      <w:r>
        <w:rPr>
          <w:b/>
        </w:rPr>
        <w:t>E. 5.3</w:t>
      </w:r>
    </w:p>
    <w:p>
      <w:r>
        <w:t>L'art. 50 al. 1 let. b et al. 2 LEI précise que les « raisons personnelles majeures » sont notamment données lorsque le conjoint est victime de violences conjugales, que le mariage a été conclu en violation de la libre volonté d'un des époux ou que la réintégration dans le pays de provenance semble fortement compromise (cf. également l'art. 77 al. 2 OASA). Il s'agit de motifs personnels graves exigeant la poursuite du séjour en ce pays (ATF 137 II 1 consid. 4.1 et 138 II 393 consid. 3.1). Cette disposition a pour vocation d'éviter les cas de rigueur ou d'extrême gravité qui peuvent être notamment provoqués par la violence conjugale, le décès du conjoint ou des difficultés de réintégration dans le pays d'origine. L'énumération de ces cas laisse aux autorités une certaine marge de manoeuvre fondée sur des motifs humanitaires (arrêt du TAF F-6860/2016 du 6 juillet 2018 consid. 5.2.1). S'agissant de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2C_204/2014 du 5 mai 2014 consid. 7.1).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Il convient en outre de tenir compte des circonstances qui ont conduit à la dissolution du mariage (ATF 137 II 345 consid. 3.2.3 et 137 II 1 consid. 4.1; ATAF 2018 VII/3 consid. 5.2).</w:t>
      </w:r>
    </w:p>
    <w:p>
      <w:r>
        <w:rPr>
          <w:b/>
        </w:rPr>
        <w:t>E. 5.4</w:t>
      </w:r>
    </w:p>
    <w:p>
      <w:r>
        <w:t>En l'occurrence, il convient également de tenir compte du droit au respect de la vie privée et familiale, garanti par l'art. 8 CEDH. Une raison personnelle majeure peut en effet en particulier découler d'une relation digne de protection avec un enfant qui a le droit de séjourner en Suisse</w:t>
      </w:r>
    </w:p>
    <w:p>
      <w:r>
        <w:rPr>
          <w:b/>
        </w:rPr>
        <w:t>E. 5.4.1</w:t>
      </w:r>
    </w:p>
    <w:p>
      <w:r>
        <w:t>Le Tribunal fédéral a récemment retenu, contrairement à sa jurisprudence précédente, que la question du droit au respect de la vie privée (art. 8 par. 1 CEDH) devait être examinée dans le cadre d'une approche globale fondée sur l'art. 8 par. 2 CEDH (ATF 144 I 266 consid. 3.8). Selon cet arrêt, après un séjour régulier d'une durée de dix ans, il faut en principe présumer que les relations sociales entretenues en Suisse par la personne concernée sont devenues si étroites, que des raisons particulières sont nécessaires pour mettre fin à son séjour dans ce pays. En outre, même en cas de séjour en Suisse inférieur à dix ans, lorsque la personne en question peut se prévaloir d'une intégration particulièrement poussée ("eine besonders ausgeprägte Integration"), le non renouvellement de son autorisation de séjour peut également, selon les circonstances, constituer une violation du droit au respect de sa vie privée consacré par l'art. 8 CEDH, pour autant qu'elle ait séjourné légalement en Suisse durant cette période (arrêt du TF 2C_18/2019 du 9 janvier 2019 consid. 2.3).</w:t>
      </w:r>
    </w:p>
    <w:p>
      <w:r>
        <w:rPr>
          <w:b/>
        </w:rPr>
        <w:t>E. 5.4.2</w:t>
      </w:r>
    </w:p>
    <w:p>
      <w:r>
        <w:t>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enfant que de manière limitée, en exerçant le droit de visite dont il bénéficie. Partant,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(cf. ATF 144 I 91 consid. 5.1 et les références citées).</w:t>
      </w:r>
    </w:p>
    <w:p>
      <w:r>
        <w:rPr>
          <w:b/>
        </w:rPr>
        <w:t>E. 5.4.3</w:t>
      </w:r>
    </w:p>
    <w:p>
      <w:r>
        <w:t>Selon la jurisprudence constante du Tribunal fédéral,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art. 50 al. 1 let. b et 96 al. 1 LEI, 13 cum 36 al. 3 Cst.), il faut aussi tenir compte de l'intérêt fondamental de l'enfant à pouvoir grandir en jouissant d'un contact étroit avec ses deux parents (art. 3 et art. 9 de la Convention du 20 novembre 1989 relative aux droits de l'enfant [CDE; RS 0.107] : ATF 143 I 21 consid. 5.5.1 et 139 I 315 consid. 2.4; arrêts du TAF F-4155/2016 consid. 8.3 et F-52/2016 consid. 7.2.1), étant précisé que, sous l'angle du droit des étrangers, cet élément n'est pas prépondérant par rapport aux autres et que l'art. 3 CDE ne saurait fonder une prétention directe à l'octroi ou au maintien d'une autorisation (cf. ATF 144 I 91 consid. 5.2 et les références citées). Depuis quelques années, cet intérêt supérieur de l'enfant revêt, dans les jurisprudences suisse et européenne rendues en matière de migration, une importance croissante, notamment sous l'angle de la nécessaire coordination entre les règles de droit civil régissant la prise en charge de l'enfant et les aspects liés au séjour (arrêts de la Cour EDH Polidario contre Suisse du 30 juillet 2013, req. 33169/10, § 63 ss et El Ghatet contre Suisse du 8 novembre 2016, req. 56971/10, § 46 ; ATF 143 I 21 consid. 5.5.4).</w:t>
      </w:r>
    </w:p>
    <w:p>
      <w:r>
        <w:rPr>
          <w:b/>
        </w:rPr>
        <w:t>E. 5.4.4</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cf. ATF 139 I 315 consid. 2.3) ;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144 I 91 consid. 5.2.1 ; 143 I 21 consid. 5.5.4).</w:t>
      </w:r>
    </w:p>
    <w:p>
      <w:r>
        <w:rPr>
          <w:b/>
        </w:rPr>
        <w:t>E. 5.4.5</w:t>
      </w:r>
    </w:p>
    <w:p>
      <w:r>
        <w:t>Le lien économique est particulièrement fort lorsque l'étranger verse effectivement à l'enfant des prestations financières dans la mesure décidée par les instances judiciaires civiles (ATF 144 I 91 consid. 5.2.2, 139 I 315 consid. 3.2). La contribution à l'entretien peut également avoir lieu en nature, en particulier en cas de garde alternée (ATF 144 I 91 consid. 5.2.2, 143 I 21 consid. 6.3.5; arrêt du TF 2C_635/2016 du 17 mars 2017 consid. 2.1.3).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(ATF 144 I 91 consid. 5.2.2 et les références citées); il s'agit en particulier de tenir compte d'éventuels motifs indépendants de la volonté du parent concerné et qui pourraient expliquer des carences dans les paiements des contributions (arrêt du TF 2C_289/2017 du 4 décembre 2017 consid. 5.2.2).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(ATF 144 I 91 consid. 5.2.2; arrêt du TAF F-3709/2017 du 14 janvier 2019 consid. 6.2.2).</w:t>
      </w:r>
    </w:p>
    <w:p>
      <w:r>
        <w:rPr>
          <w:b/>
        </w:rPr>
        <w:t>E. 5.4.6</w:t>
      </w:r>
    </w:p>
    <w:p>
      <w:r>
        <w:t>Sous l'angle temporel, la réalité et le caractère effectif des liens qu'un étranger a tissés avec le membre de sa famille qui bénéficie d'un droit de résider en Suisse au moment où le droit est invoqué est déterminante lors de l'examen de proportionnalité, quand bien même, par définition, des liens familiaux particulièrement forts impliquent un rapport humain d'une certaine intensité qui ne peut s'épanouir que par l'écoulement du temps (ATF 140 I 145 consid. 4.2).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w:t>
      </w:r>
    </w:p>
    <w:p>
      <w:r>
        <w:rPr>
          <w:b/>
        </w:rPr>
        <w:t>E. 5.4.7</w:t>
      </w:r>
    </w:p>
    <w:p>
      <w:r>
        <w:t>En cas d'exercice conjoint de l'autorité parentale, les atteintes de peu d'importance à l'ordre public imputables au parent dont les conditions de séjour sont en jeu ne constituent pas une condition indépendante rédhibitoire de refus de prolongation de son autorisation de séjour, mais un élément parmi d'autres à prendre en compte dans la pesée globale des intérêts (ATF 140 I 145 consid. 3.2, 4.1 et 4.3 ; arrêt du TF 2C_635/2016 du 17 mars 2017 consid. 2.1.3), à plus forte raison lorsqu'une garde partagée a été instaurée et est effectivement exercée (arrêt du TF 2C_606/2013 consid. 6.3).</w:t>
      </w:r>
    </w:p>
    <w:p>
      <w:r>
        <w:rPr>
          <w:b/>
        </w:rPr>
        <w:t>E. 5.4.8</w:t>
      </w:r>
    </w:p>
    <w:p>
      <w:r>
        <w:t>Enfin, le droit au respect de la vie privée et familiale garanti par l'art. 8 par. 1 CEDH n'est pas absolu. Une ingérence dans l'exercice de ce droit est possible aux conditions des art. 8 par. 2 CEDH, 96 al. 1 LEI, 13 cum 36 al. 3 Cst. (cf. aussi art. 5 al. 2 Cst.). De manière plus générale, la jurisprudence a souligné que l'ensemble de ces critères n'étaient pas à proprement parler des conditions strictes, mais devaient être pris en considération dans le cadre d'une pesée globale des intérêts en application de l'art. 8 par. 2 CEDH et du principe de proportionnalité (cf. ATF 144 I 91 consid. 5.2; arrêt du TF 2C_385/2014 du 19 janvier 2015 consid. 5.2.1; arrêts du TAF F-2681/2016 du 28 mars 2018 consid. 5.2 et F-52/2016 du 6 mars 2017 consid. 7.2.2.2).</w:t>
      </w:r>
    </w:p>
    <w:p>
      <w:r>
        <w:rPr>
          <w:b/>
        </w:rPr>
        <w:t>E. 6</w:t>
      </w:r>
    </w:p>
    <w:p>
      <w:r>
        <w:t>Le Tribunal, après avoir examiné si le recourant peut se prévaloir de la protection de sa vie privée au sens de l'art. 8 CEDH (cf. consid. 6.1 infra), concentrera son analyse sur la question de savoir si les critères du renouvellement de son autorisation de séjour sous l'angle de la vie familiale également protégée par cette disposition conventionnelle sont réalisés (cf. consid. 6.2 ss infra).</w:t>
      </w:r>
    </w:p>
    <w:p>
      <w:r>
        <w:rPr>
          <w:b/>
        </w:rPr>
        <w:t>E. 6.1</w:t>
      </w:r>
    </w:p>
    <w:p>
      <w:r>
        <w:t>Sous l'angle de la vie privée, le Tribunal constate que l'intéressé a séjourné en Suisse cinq ans (2016 à 2021), soit une durée inférieure aux dix ans requis pour l'application de l'art. 8 CEDH sous l'angle de la vie privée (cf. ATF 144 I 266 consid. 3.8 et 3.9 ; arrêt du TF 2C_18/2019 du 9 janvier 2019 consid. 2.3). La prise en considération de cette durée doit, de plus, être relativisée. En effet, depuis la révocation du titre de séjour de l'intéressé du 31 juillet 2020, son séjour en Suisse ne peut plus être comptabilisé (ou seulement dans une mesure très restreinte) puisqu'il a été accompli sans autorisation, à la faveur d'une simple tolérance cantonale ou de l'effet suspensif attaché au présent recours (cf. ATF 137 II 1 consid. 4.3, arrêt du TF 2C_641/2017 du 31 août 2017 consid. 3.3, ATAF 2007/45 consid. 6.3). Le recourant ne peut donc pas se prévaloir de la protection de la vie familiale au sens de l'art. 8 CEDH et la jurisprudence précitée.</w:t>
      </w:r>
    </w:p>
    <w:p>
      <w:r>
        <w:rPr>
          <w:b/>
        </w:rPr>
        <w:t>E. 6.2</w:t>
      </w:r>
    </w:p>
    <w:p>
      <w:r>
        <w:t>S'agissant de la protection de la vie familiale du recourant, il convient d'examiner - au vu des pièces figurant au dossier - si la relation affective qu'il entretient avec son enfant peut être qualifiée de particulièrement forte, puis d'analyser l'intensité des liens économiques qui unissent le recourant à son fils, avant de procéder à la pesée des intérêts en vertu de l'art. 8 par. 2 CEDH.</w:t>
      </w:r>
    </w:p>
    <w:p>
      <w:r>
        <w:rPr>
          <w:b/>
        </w:rPr>
        <w:t>E. 6.2.1</w:t>
      </w:r>
    </w:p>
    <w:p>
      <w:r>
        <w:t>Le SEM a retenu, dans la décision querellée, qu'en premier lieu, l'intéressé n'avait presque jamais vécu avec son enfant et qu'il n'avait pas entretenu une relation affective suivie et d'une certaine intensité avec lui après avoir quitté le domicile conjugal. En second lieu, l'autorité inférieure a indiqué qu'il n'était pas établi par des éléments concrets au dossier que le recourant ait contribué de manière régulière à l'entretien économique de son enfant. En outre, le SEM a relevé que le droit de visite limité à un jour par semaine de 8h30 à 18h30 était inférieur à un droit de visite usuel. De plus, il ressortait des différentes pièces au dossier que ce droit de visite n'avait pas toujours été respecté. Le SEM a donc estimé que l'intéressé n'avait pas démontré avoir noué avec son fils une relation familiale intacte, régulière et réellement vécue.</w:t>
      </w:r>
    </w:p>
    <w:p>
      <w:r>
        <w:rPr>
          <w:b/>
        </w:rPr>
        <w:t>E. 6.2.2</w:t>
      </w:r>
    </w:p>
    <w:p>
      <w:r>
        <w:t>Dans son recours du 5 juin 2020, le recourant a affirmé que, bien que les efforts pour contribuer à l'entretien de son fils n'avaient pas encore abouti, ils seraient à terme récompensés. Selon lui, son emploi auprès de l'entreprise E._______ devait lui permettre d'obtenir un revenu supérieur et de contribuer à l'entretien de son fils. Un renvoi vers son pays d'origine provoquerait un déracinement et une séparation brutale d'avec ce dernier. Le recourant a expliqué avoir organisé toute son existence en fonction de son fils. La volonté de fonder une famille en Suisse avait poussé le couple à s'y installer. L'intéressé a exposé vivre dans le même village que son fils pour entretenir des relations étroites et effectives avec lui. Il serait illusoire de penser qu'il puisse continuer à voir son fils au vu des difficultés juridiques, économiques et de l'absence de collaboration de la mère de l'enfant. Dans son courrier du 21 août 2020, le recourant a fait parvenir, notamment, une copie du contrat de travail à durée indéterminée à 80% en qualité d'analyste en sécurité informatique pour un salaire mensuel brut de 4'200 francs et divers relevés bancaires attestant des montants payés par le recourant en faveur de son fils. Par courrier du 29 septembre 2020, le recourant a, entre autres, avancé qu'il avait effectué un ordre permanent de 550 francs suite à l'obtention de son nouvel emploi depuis le 1er septembre 2020. Son taux de travail à 80%, lui permettrait de profiter pleinement de son fils et il souhaitait demander la garde partagée dans la procédure de divorce. Aussi, il a exposé avoir été empêché d'entretenir des relations personnelles avec son fils car certains messages de son épouse étaient restés sans réponse. Son fils était sa raison de vivre et la raison pour laquelle il se battait. Le recourant a exposé s'être formé à ses propres frais à X._______ (GB) en sécurité informatique et avoir effectué du volontariat en qualité de sapeur-pompier et auprès de la ville de Y._______ (VD). Par courrier du 30 novembre 2020, le recourant a relevé qu'il s'était investi dans la prise en charge de son fils dès sa naissance et que les liens se renforçaient encore. L'intéressé a également mis en avant les difficultés de réadaptation au Sénégal et les efforts entrepris pour s'insérer sur le marché du travail en Suisse, tout en étant prêt à accepter toute proposition pour rester près de son fils.</w:t>
      </w:r>
    </w:p>
    <w:p>
      <w:r>
        <w:rPr>
          <w:b/>
        </w:rPr>
        <w:t>E. 6.2.3</w:t>
      </w:r>
    </w:p>
    <w:p>
      <w:r>
        <w:t>Par convention de mesures protectrices de l'union conjugale signée à l'audience du 9 mai 2018 par-devant le Tribunal d'arrondissement, la garde de l'enfant C._______ a été attribuée à la mère. Le père s'est vu accorder un libre et large droit de visite, à exercer d'entente avec son épouse. A défaut d'entente, il pourrait avoir l'enfant auprès de lui tous les vendredis de 8h30 à 18h30, s'il déposait son passeport. Aussi, l'entretien convenable de l'enfant a été fixé à 1'194 francs par mois, allocations familiales de 250 francs déduites. Toutefois, aucune contribution n'a été convenue. Il ressort du rapport d'évaluation du SPJ du 20 novembre 2018 que les deux parents présentent des compétences éducatives permettant de répondre aux besoins de base de leur enfant. Cependant, le discours de l'intéressé a montré qu'il était moins attentif à l'importance des rituels et du respect du rythme de vie de son fils. Aussi, le droit de visite n'avait parfois pas été exercé durant plusieurs semaines, notamment au moment où le recourant était en France pour renouveler son passeport et durant ses vacances. Etant donné l'âge de l'enfant, les conditions d'accueil au studio de l'intéressé étaient réunies pour l'exercice du droit de visite. Le recourant a avancé que la construction d'une pièce supplémentaire était envisageable, ainsi que la présence de sa soeur ou de sa mère vivant en Australie en vue d'assumer une garde alternée vu ses horaires irréguliers. Au vu des éléments qui précèdent, la faisabilité de la garde alternée a paru trop aléatoire. Par la suite, le droit de visite a été modifié lors de l'audience de mesures protectrices de l'union conjugale du 13 mars 2019. Les parties ont notamment convenu que le recourant bénéficierait sur son fils d'un libre et large droit de visite, à exercer d'entente entre elles. À défaut d'entente, ce droit était exercé un jour par semaine, soit le lundi, dès 8h30 jusqu'à 18h30 et dès 2020, quatre fois par an cinq jours et quatre nuits consécutives. La fréquence est passée à quatre fois par an une semaine entière dès 4 ans révolus, soit dès le 7 août 2021 (cf. act. 21 TAF, pièce 45). Selon l'ordonnance de mesures provisionnelles rendue par le Tribunal d'arrondissement le 6 novembre 2020, il a été néanmoins décidé que le droit de visite du recourant s'exerçait provisoirement par l'intermédiaire du « Point rencontre » deux fois par mois, pour une durée maximale de deux heures (voir supra H). Il ressort desdites mesures provisionnelles, que depuis l'instauration des mesures superprovisionnelles du 10 août 2020, l'intéressé n'avait pas effectué les démarches nécessaires pour voir son fils par l'intermédiaire du « Point rencontre ». Seul un appel vidéo a eu lieu le 23 août 2020 (cf. dossier civil cantonal, p. 59 s). Lors de l'audience d'appel du 8 décembre 2020, le recourant et son épouse ont convenu que le Tribunal cantonal allait inviter le Tribunal de céans à communiquer au conseil de B._______ le présent jugement. Par ailleurs, il a été décidé que si le présent recours était rejeté, l'ordonnance de mesures provisionnelles du 6 novembre 2020 entrerait à nouveau en vigueur. Pour le cas où le présent recours était admis, l'ordonnance précitée serait définitivement caduque et le droit de visite du recourant sur son fils serait à nouveau régi par la convention signée par les époux lors de l'audience de mesures protectrices de l'union conjugale du 13 mars 2019. Par arrêt du Tribunal cantonal du 6 janvier 2021, la cause a notamment été rayée du rôle (cf. dossier civil cantonal, p. 82).</w:t>
      </w:r>
    </w:p>
    <w:p>
      <w:r>
        <w:rPr>
          <w:b/>
        </w:rPr>
        <w:t>E. 6.3</w:t>
      </w:r>
    </w:p>
    <w:p>
      <w:r>
        <w:t>Il découle de ce qui précède que l'intéressé manifeste certes une grande volonté de s'impliquer dans l'éducation, la prise en charge et l'encadrement de son fils. Dans cette optique, il a déménagé dans le même village que son épouse et son fils pour entretenir avec lui des relations étroites et effectives (cf. act. 1 TAF, p. 6 et act. 10 TAF, p. 2). Toutefois, ses paroles peinent à se traduire par des actes. Sans tenir compte de la suspension du droit de visite ordonnée par mesures superprovisionnelles du 17 juillet 2020, ni de la restriction du droit de visite ordonnée par mesures provisionnelles du 6 novembre 2020, l'intéressé a exercé son droit de visite les vendredis dès 8h30 jusqu'à 18h30 (cf. dossier civil cantonal, p. 135, 175 et 227). Il aurait eu toutefois la possibilité d'accueillir son fils quatre fois par an cinq jours et quatre nuits consécutives, voire même davantage d'entente avec son épouse mais ne l'a pas fait (cf. dossier cantonal, p. 35 s). Le Tribunal relève également que le recourant a simplement espéré obtenir une garde alternée dans le cadre de la procédure civile pendante par-devant le Tribunal d'arrondissement (cf. act. 15 TAF et dossier civil cantonal, p. 19). Toutefois, il n'a pas modifié ses conclusions dans ce sens. Dans l'hypothèse la plus favorable au recourant, qui serait l'admission du présent recours, le droit de visite usuel serait repris (cf. dossier civil cantonal, p. 59 s. et 82 et act. 10 TAF, p. 2). Ce dernier resterait toutefois en-deçà des exigences jurisprudentielles en matière de délivrance d'une autorisation de séjour, à savoir en Suisse romande un droit de visite d'un week-end toutes les deux semaines et durant la moitié des vacances (cf. ATF 144 I 91 consid. 5.2.1). L'existence d'un lien affectif particulièrement fort ne peut être admise, ce d'autant moins que le recourant n'a pratiquement jamais vécu avec son fils, à part les sept premiers mois de sa vie avant que la séparation définitive du couple n'intervienne au mois de février 2018 (cf. dossier civil cantonal, p. 69). Ainsi, l'intensité des liens affectifs qui unissent l'intéressé à son fils n'est actuellement pas remplie. Au vu des éléments au dossier, un élargissement du droit de visite atteignant les exigences jurisprudentielles n'est pas non plus suffisamment prévisible.</w:t>
      </w:r>
    </w:p>
    <w:p>
      <w:r>
        <w:rPr>
          <w:b/>
        </w:rPr>
        <w:t>E. 6.4</w:t>
      </w:r>
    </w:p>
    <w:p>
      <w:r>
        <w:t>Ensuite, il convient d'analyser l'intensité des liens économiques qui unissent le recourant à son fils. Dans le cas d'espèce, le juge civil a fixé des contributions d'entretien en tenant compte des capacités financières du recourant à 550 francs par mois dès le 1er septembre 2020, tout en fixant un entretien convenable mensuel à 893,15 francs (cf. dossier cantonal, p. 71). Il ressort des pièces du dossier que l'intéressé s'est acquitté du versement de ces contributions à la suite de sa première séparation (cf. act. 21 TAF, pièces 46 à 49). Le Tribunal de céans estime, eu égard à la jurisprudence du Tribunal fédéral, selon laquelle les exigences relatives à l'étendue de la relation que l'étranger doit entretenir avec son enfant d'un point de vue économique doivent rester dans l'ordre du possible et du raisonnable (cf. ATF 144 I 91 consid. 5.2.2 et les références citées), que la condition relative à la relation économique étroite doit, en l'espèce, être considérée comme remplie, puisque l'intéressé s'est toujours efforcé de verser régulièrement des montants visant à couvrir certaines charges relatives à l'entretien de l'enfant, puis une pension alimentaire depuis qu'il a débuté son nouvel emploi en septembre 2020 (cf. act. 6 TAF, pièces 2 et 3 ; act. 10 TAF, p. 4 et 5 ; art. 21 TAF, pièces 46-49 ; act. 23 TAF, pièces 47-49).</w:t>
      </w:r>
    </w:p>
    <w:p>
      <w:r>
        <w:rPr>
          <w:b/>
        </w:rPr>
        <w:t>E. 6.5</w:t>
      </w:r>
    </w:p>
    <w:p>
      <w:r>
        <w:t>Concernant le comportement du recourant, il y a lieu tout d'abord de constater qu'il n'a pas fait l'objet de condamnations pénales. En outre, l'intéressé avait des poursuites pour un montant total de 6'330,08 francs au 31 juillet 2019 (cf. dossier du SEM, pièce 52). Il s'est attelé à les rembourser, si bien que son extrait des poursuites est désormais vierge (cf. act. 10 TAF, p. 6). Aussi, le recourant n'a pas bénéficié de l'aide sociale et a acquis une totale autonomie financière.</w:t>
      </w:r>
    </w:p>
    <w:p>
      <w:r>
        <w:rPr>
          <w:b/>
        </w:rPr>
        <w:t>E. 6.6</w:t>
      </w:r>
    </w:p>
    <w:p>
      <w:r>
        <w:t>Sous l'angle de l'intérêt privé du recourant, ses expériences professionnelles sur le territoire helvétique (cf. diverses missions pour l'agence de placement F._______ du 5 avril 2018 [act. 1 TAF, pièce 6] ; agent de sécurité pour E._______ [act. 1 TAF, pièces 36 ss], ingénieur du son sur appel dès 1er janvier 2018 [act. 1 TAF, pièce 33], analyste en sécurité informatique depuis le 1er septembre 2020 pour une durée indéterminée [act. 6 TAF, pièce 1]) témoignent pour certaines de qualifications ou de connaissances spécifiques. Toutefois, le Tribunal considère que l'intéressé ne saurait se prévaloir d'une intégration professionnelle en Suisse à ce point exceptionnelle qu'elle rendrait très difficile, voire impossible un retour au Sénégal. Au contraire, les connaissances techniques acquises en Suisse ou ailleurs devraient faciliter son retour. Sur le plan associatif, il a participé à un programme d'emploi temporaire pour une association qui oeuvre à dispenser des cours d'informatique aux séniors et aux personnes souffrant d'un handicap (cf. act. 1 TAF, page 2 et pièce 35). L'intéressé a, en outre, intégré en septembre 2019 les sapeurs-pompiers de Z._______ (VD). Selon le chef de site, le recourant est une personne motivée, appréciée par sa direction et ses collègues, très bien intégrée dans la vie sociale de la caserne et qui participe assidument à sa mission de sapeur-pompier, ainsi qu'aux tâches et activités externes à sa formation (cf. act. 1 TAF, pièce 3). Il peut également se prévaloir de quatre lettres de soutien de la part de ses voisins, ses amis, ses bailleurs et la famille. Ses amis et ses bailleurs relèvent d'ailleurs sa bonne intégration (cf. act. 1 TAF, pièces 4-7). Il sied de relever de ce qui précède que bien que le recourant se soit créé des attaches en Suisse, il est arrivé en Suisse à l'âge de trente ans et a passé à l'étranger son enfance, son adolescence et les premières années de sa vie d'adulte. Ces années ne sauraient être moins déterminantes pour la formation de la personnalité et, partant, pour l'intégration socioculturelle, que le séjour du recourant en Suisse, qui ne saurait l'avoir rendu totalement étranger à sa patrie (arrêt du TF 2C_196/2014 du 19 mai 2014 consid. 4.2; ATAF 2007/45 consid. 7.6). A l'exclusion de son épouse (dont il est séparé définitivement depuis le mois de février 2018) et de son enfant (dont il n'a pas la garde), le recourant - qui est encore jeune et en bonne santé - n'a pas d'attache familiale en Suisse; il bénéficie vraisemblablement de racines socio-culturelles au Sénégal, pays dans lequel il s'est marié et où vit son père (cf. act. 15 TAF, p. 2). L'intéressé a certainement également conservé, dans son pays d'origine, un cercle d'amis et de connaissances qui seraient susceptibles de favoriser son retour. Le recourant serait donc en mesure de se réintégrer à la société sénégalaise, au terme d'une période de réadaptation, nonobstant une situation économique initialement moins favorable que celle qu'il connaît en Suisse. C'est ici le lieu de rappeler que le fait que les conditions d'existence soient plus difficiles dans le pays de provenance, compte tenu d'un niveau de vie différent, n'est pas déterminant au regard de l'art. 50 al. 1 let. b LEI (ATF 137 II 345 consid. 3.2.3 ; arrêt du TF 2C_1119/2012 du 4 juillet 2013 consid. 5.2).</w:t>
      </w:r>
    </w:p>
    <w:p>
      <w:r>
        <w:rPr>
          <w:b/>
        </w:rPr>
        <w:t>E. 6.7</w:t>
      </w:r>
    </w:p>
    <w:p>
      <w:r>
        <w:t>En considération de ce qui précède, l'intérêt privé du recourant à voir son autorisation de séjour prolongée ne saurait, dans le cadre de la pesée des intérêts effectuée en vertu des art. 8 par. 2 CEDH et art. 96 al. 1 LEI, l'emporter sur l'intérêt public à son éloignement. L'intéressé ne peut dès lors se prévaloir d'un droit de séjour découlant de la seule présence de son enfant en Suisse. Il devra se contenter d'exercer son droit de visite depuis l'étranger, les modalités quant à la fréquence et à la durée devant être aménagées en fonction de cette situation. Compte tenu de la distance qui sépare son pays d'origine de la Suisse, il est indéniable que son départ rendra l'exercice du droit de visite plus difficile, sans toutefois y apporter d'obstacles qui le rendrait pratiquement impossible dans le cadre de séjours à but touristique. La distance séparant la Suisse du Sénégal ne saurait donc suffire pour s'opposer à son éloignement (cf., en ce sens, arrêt du TF 2C_378/2020 du 21 août 2020 consid. 6.4). Au demeurant, son retour dans son pays d'origine ne signifie pas la perte de tout lien avec son fils, âgé actuellement de quatre ans. Le Tribunal considère que même si l'exercice du droit de visite est rendu plus compliqué, il sera néanmoins possible pour le recourant de l'exercer depuis son pays d'origine, dans le cadre de séjours de vacances en aménageant les modalités de ceux-ci quant à leur fréquence et à leur durée. A cela s'ajoute encore le fait que, dans l'intervalle de ces visites, l'éloignement de l'intéressé ne l'empêchera pas d'avoir des contacts réguliers, voire quotidiens avec son enfant, notamment grâce aux moyens de communication moderne (dans le même sens, cf. notamment l'arrêt du TF 2C_428/2019 du 20 août 2019 consid. 5.2).</w:t>
      </w:r>
    </w:p>
    <w:p>
      <w:r>
        <w:rPr>
          <w:b/>
        </w:rPr>
        <w:t>E. 6.8</w:t>
      </w:r>
    </w:p>
    <w:p>
      <w:r>
        <w:t>Il convient enfin de relever qu'il n'y a pas lieu d'examiner la situation du recourant sous l'angle de l'art. 30 al. 1 let. b LEI, puisque les raisons personnelles majeures ont été écartées sur la base des art. 50 al. 1 let. b LEI et 31 OASA, de sorte qu'elles le seraient pareillement sous l'angle de l'art. 30 al. 1 let. b LEI (ATF 137 II 345 consid. 3.2.1; arrêt du TF 2C_1062/2013 du 28 mars 2014 consid. 3.2.1 ; ATAF 2017 VII/7 consid. 5.5.1).</w:t>
      </w:r>
    </w:p>
    <w:p>
      <w:r>
        <w:rPr>
          <w:b/>
        </w:rPr>
        <w:t>E. 6.9</w:t>
      </w:r>
    </w:p>
    <w:p>
      <w:r>
        <w:t>Partant, au terme d'une appréciation de l'ensemble des circonstances de la présente cause, le Tribunal, à l'instar de l'autorité intimée, parvient à la conclusion que les conditions liées à la poursuite par le recourant de son séjour en Suisse ne peuvent être considérées comme réunies. C'est donc à juste titre que l'autorité intimée a refusé de donner son approbation à la prolongation de son autorisation de séjour.</w:t>
      </w:r>
    </w:p>
    <w:p>
      <w:r>
        <w:rPr>
          <w:b/>
        </w:rPr>
        <w:t>E. 7.1</w:t>
      </w:r>
    </w:p>
    <w:p>
      <w:r>
        <w:t>Le recourant n'obtenant pas la prolongation de son autorisation de séjour en Suisse, c'est également à juste titre que l'autorité intimée a prononcé son renvoi de ce pays en application de l'art. 64 al. 1 let. c LEI.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7.2</w:t>
      </w:r>
    </w:p>
    <w:p>
      <w:r>
        <w:t>L'intéressé n'a par ailleurs pas démontré l'existence d'obstacles à son retour au Sénégal et le dossier ne fait pas apparaître que l'exécution du renvoi serait illicite, inexigible ou impossible au sens de l'art. 83 al. 2 à 4 LEI, de sorte que c'est à bon droit que l'autorité intimée a ordonné l'exécution de cette mesure.</w:t>
      </w:r>
    </w:p>
    <w:p>
      <w:r>
        <w:rPr>
          <w:b/>
        </w:rPr>
        <w:t>E. 8.1</w:t>
      </w:r>
    </w:p>
    <w:p>
      <w:r>
        <w:t>Il résulte de ce qui précède que, par sa décision du 30 avril 2020, l'autorité intimée n'a ni violé le droit fédéral, ni constaté des faits pertinents de manière inexacte ou incomplète. En outre, la décision attaquée n'est pas inopportune (cf. art. 49 PA). En conséquence, le recours est rejeté.</w:t>
      </w:r>
    </w:p>
    <w:p>
      <w:r>
        <w:rPr>
          <w:b/>
        </w:rPr>
        <w:t>E. 8.2</w:t>
      </w:r>
    </w:p>
    <w:p>
      <w:r>
        <w:t>Vu l'issue de la cause, il y aurait en principe lieu de mettre l'entier des frais de procédure à la charge du recourant (cf. art. 63 al. 1 PA en relation avec les art. 1 à 3 du règlement du 21 février 2008 concernant les frais, dépens et indemnités fixés par le Tribunal administratif fédéral [FITAF, RS 173.320.2]). Cependant, dès lors que l'assistance judiciaire totale lui a été octroyée, il en est exempté.</w:t>
      </w:r>
    </w:p>
    <w:p>
      <w:r>
        <w:rPr>
          <w:b/>
        </w:rPr>
        <w:t>E. 8.3</w:t>
      </w:r>
    </w:p>
    <w:p>
      <w:r>
        <w:t>Il convient en outre d'accorder une indemnité à titre d'honoraires à Me Jacques Emery (art 7 ss. du Règlement du 21 février 2008 concernant les frais, dépens et indemnités fixés par le Tribunal administratif fédéral [FITAF, RS 173.320.2]), le recourant ayant l'obligation de rembourser ce montant s'il revient à meilleure fortune, conformément à l'art. 65 al. 4 PA. L'autorité appelée à fixer les dépens, respectivement le montant de l'indemnité à titre d'honoraires,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w:t>
      </w:r>
    </w:p>
    <w:p>
      <w:r>
        <w:rPr>
          <w:b/>
        </w:rPr>
        <w:t>E. 8.4</w:t>
      </w:r>
    </w:p>
    <w:p>
      <w:r>
        <w:t>Deux notes d'honoraires ont été produites par le mandataire : une première de 2'648,20 francs datée du 30 novembre 2020 et une seconde du 13 janvier 2021 comportant un total de 15,18 heures (cf. act. 14 TAF, pièce 1 et act. 21 TAF, pièce 58). Eu égard à des cas similaires, le Tribunal estime qu'il y a lieu de réduire l'ampleur des prestations facturées. Il s'agit en particulier de tenir compte du fait que le mandataire défendait déjà les intérêts du recourant durant la procédure d'approbation qui s'était déroulée devant le SEM, procédure dans laquelle ce dernier avait présenté une argumentation en partie similaire à celle qu'il a avancée par-devant le Tribunal (cf. dossier SEM, pièce 87; voir, en ce sens, arrêt du TAF F-2191/2016 du 19 avril 2018 consid. 10). Par ailleurs, quelques prestations facturées n'apparaissent pas en adéquation avec les besoins de la cause. Ainsi, par exemple, le Tribunal considère que le temps décompté pour les contacts téléphoniques (90 minutes), les conférences (200 minutes) et la préparation du dossier (60 minutes) apparaît disproportionné.</w:t>
      </w:r>
    </w:p>
    <w:p>
      <w:r>
        <w:rPr>
          <w:b/>
        </w:rPr>
        <w:t>E. 8.5</w:t>
      </w:r>
    </w:p>
    <w:p>
      <w:r>
        <w:t>Dès lors, compte tenu de l'ensemble des circonstances du cas, de l'importance de l'affaire, du degré de difficulté de cette dernière et des opérations indispensables effectuées par le mandataire professionnel (en faveur duquel il paraît justifié de retenir un tarif horaire de 250 francs [cf. art. 10 al. 2 FITAF]), le Tribunal arrête à 2'200 francs (TVA comprise) le montant dû à titre d'honoraires et de débours. Il sera précisé que ce montant reste dans le cadre des montants usuels octroyés par le Tribunal administratif fédéral et le Tribunal fédéral dans des affaires relevant du droit des étrangers qui présentent des difficultés particulières comme cela était le cas en l'espèce (cf. arrêt du TAF F-2888/2017 du 26 septembre 2018 consid.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