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F-2950/2018 vom 2. November 2018</w:t>
      </w:r>
    </w:p>
    <w:p>
      <w:r>
        <w:t>Bundesverwaltungsgericht, 2018-11-02, DE</w:t>
      </w:r>
    </w:p>
    <w:p>
      <w:r>
        <w:rPr>
          <w:b/>
        </w:rPr>
        <w:t xml:space="preserve">Quelle: </w:t>
      </w:r>
      <w:r>
        <w:t>https://mcp.opencaselaw.ch/entscheid/bvger_F-2950_2018</w:t>
      </w:r>
    </w:p>
    <w:p>
      <w:r>
        <w:t>FR: TAF F-2950/2018 du 2 novembre 2018</w:t>
      </w:r>
    </w:p>
    <w:p>
      <w:r>
        <w:t>IT: TAF F-2950/2018 del 2 novembre 2018</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nach Art. 48 Abs. 1 VwVG zur Beschwerde legitimiert. Das Visum wurde zwar für den Sommer 2018 beantragt, jedoch in genereller Form. Entsprechend sind die Sachurteilsvoraussetzungen grundsätzlich erfüllt, sodass auf die Beschwerde einzutreten ist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können vorliegend die Verletzung des Ermessens, die unrichtige oder unvollständige Feststellung des rechtserheblichen Sachverhalts und die Unangemessenheit gerügt werden (vgl. Art. 49 VwVG). Das Gericht wendet im Beschwerdeverfahren das Bundesrecht von Amtes wegen an. Es ist gemäss Art. 62 Abs. 4 VwVG nicht an die Begründung der Begehren gebunden; es kann also die Beschwerde auch aus anderen als den geltend gemachten Gründen gutheissen oder abweisen. Massgeblich ist grundsätzlich die Sachlage zum Zeitpunkt des Entscheids (vgl. BVGE 2014/1 E. 2 m.H.).</w:t>
      </w:r>
    </w:p>
    <w:p>
      <w:r>
        <w:rPr>
          <w:b/>
        </w:rPr>
        <w:t>E. 3</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ersetzt (VEV, SR 142.204). Gemäss der Übergangsbestimmung kommt im vorliegenden Verfahren das neue Recht zur Anwendung (Art. 69 - 71 VEV).</w:t>
      </w:r>
    </w:p>
    <w:p>
      <w:r>
        <w:rPr>
          <w:b/>
        </w:rPr>
        <w:t>E. 4.1</w:t>
      </w:r>
    </w:p>
    <w:p>
      <w:r>
        <w:t>Der angefochtenen Verfügung liegt das Gesuch einer thailändischen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w:t>
      </w:r>
    </w:p>
    <w:p>
      <w:r>
        <w:rPr>
          <w:b/>
        </w:rPr>
        <w:t>E. 4.4</w:t>
      </w:r>
    </w:p>
    <w:p>
      <w:r>
        <w:t>Eine Gefahr für die öffentliche Ordnung nach Art. 6 Abs. 1 Bst. e SGK ist beispielsweise dann anzunehmen, wenn die drittstaatsangehörige Person nicht bereit ist, das Hoheitsgebiet des Schengen-Raums fristgerecht wieder zu verlassen (vgl. dazu Egli/Meyer, in Caroni/Gächter/Thurnherr [Hrsg.], Stämpflis Handkommentar zum Bundesgesetz über die Ausländerinnen und Ausländer, 2010, Art. 5 N. 33). Die Behörden haben daher zu prüfen und die drittstaatsangehörige Person hat zu belegen, dass keine Gefahr einer rechtswidrigen Einwanderung oder einer nicht fristgerechten Ausreise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4.6</w:t>
      </w:r>
    </w:p>
    <w:p>
      <w:r>
        <w:t>Aufgrund ihrer Staatszugehörigkeit unterliegt die Gesuchstellerin der Visumspflicht (vgl. Anhang I zu der in E. 3.3 erwähnten Verordnung [EG] Nr. 539/2001 [zum vollständigen Quellennachweis vgl. Fussnote zu Art. 8 Abs. 1 VEV]).</w:t>
      </w:r>
    </w:p>
    <w:p>
      <w:r>
        <w:rPr>
          <w:b/>
        </w:rPr>
        <w:t>E. 5.1</w:t>
      </w:r>
    </w:p>
    <w:p>
      <w:r>
        <w:t>Die Vorinstanz begründet die Abweisung der Einsprache im Wesentlichen mit der nicht gesicherten Wiederausreise der Gesuchstellerin. Bei der Beurteilung der Gewähr für eine fristgerechte Wiederausreise muss ein zukünftiges Verhalten beurteilt werden. Hierzu sind lediglich Prognosen möglich; zu würdigen sind indes sämtliche Umstände des konkreten Einzelfalls. Dabei ist einerseits auf die allgemeine Lage im Herkunftsland und andererseits auf die individuelle Situation der gesuchstellenden Person Bezug zu nehmen.</w:t>
      </w:r>
    </w:p>
    <w:p>
      <w:r>
        <w:rPr>
          <w:b/>
        </w:rPr>
        <w:t>E. 5.2.1</w:t>
      </w:r>
    </w:p>
    <w:p>
      <w:r>
        <w:t>Die traditionell exportorientierte Wirtschaft Thailands hat sich inzwischen von den durch die politische Krise in den Jahren 2013 und 2014 bewirkten negativen Einflüssen erholt. Die Erwartungen für 2018 sind optimistisch. Die von der Regierung nach dem Putsch vom Mai 2014 angestossenen Massnahmen führen indes nur langsam zur erhofften wirtschaftlichen Entwicklung. Im Zug der allgemeinen wirtschaftlichen Entwicklung hat sich zwar der Anteil der unter der Armutsgrenze lebenden Bevölkerung auf 10.5 % (2014) reduziert; weitere 9 % sind jedoch von Armut bedroht. Das durchschnittliche Monatseinkommen von Frauen betrug 2017 THB 13'959 bzw. rund Fr. 410.- (www.auswaertiges-amt.de &gt; Aussen- und Europapolitik &gt; Länderinformationen Thailand &gt; Innenpolitik, Wirtschaft [Stand März 2018] sowie Reise- und Sicherheitshinweise [Stand September 2018]; www.ilo.org &gt; countries &gt; Thailand &gt; statistics; Websites besucht im September 2018).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miteinzubeziehen (Urteil des BVGer F-4359/2017 vom 13. Juni 2018 E. 5.3).</w:t>
      </w:r>
    </w:p>
    <w:p>
      <w:r>
        <w:rPr>
          <w:b/>
        </w:rPr>
        <w:t>E. 5.2.2</w:t>
      </w:r>
    </w:p>
    <w:p>
      <w:r>
        <w:t>In Anbetracht dieser Umstände ist nicht zu beanstanden, wenn die Vorinstanz das Risiko einer nicht fristgerechten Wiederausreise von Besuchern aus Thailand grundsätzlich als erheblich einschätzt.</w:t>
      </w:r>
    </w:p>
    <w:p>
      <w:r>
        <w:rPr>
          <w:b/>
        </w:rPr>
        <w:t>E. 5.3.1</w:t>
      </w:r>
    </w:p>
    <w:p>
      <w:r>
        <w:t>Bei der Risikoanalyse sind allerdings nicht nur solch allgemeine Umstände und Erfahrungen, sondern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Bei Personen, die in ihrer Heimat keine besonderen Verpflichtungen haben, muss das Risiko eines ausländerrechtlich nicht regelkonformen Verhaltens nach einer bewilligten Einreise demgegenüber als hoch eingeschätzt werden.</w:t>
      </w:r>
    </w:p>
    <w:p>
      <w:r>
        <w:rPr>
          <w:b/>
        </w:rPr>
        <w:t>E. 5.3.2</w:t>
      </w:r>
    </w:p>
    <w:p>
      <w:r>
        <w:t>Bei der Gesuchstellerin handelt es sich um eine 36-jährige, geschiedene Frau und Mutter von drei Kindern (11, 16 und 21 Jahre alt). In diesen Verhältnissen ist sicherlich eine gewisse soziale Einbindung zu erblicken. Das Abhängigkeitsverhältnis zu den Kindern ist indes zu relativieren, da die Gesuchstellerin eine Trennung von ihnen für eine doch beträchtliche Dauer von drei Monaten in Kauf nimmt, um ihren in der Schweiz lebenden Freund zu besuchen (vgl. SEM act. 2/S. 29 und 42). Dies erstaunt umso mehr, als sie anlässlich des Interviews auf der Schweizerischen Botschaft angab, diesen nicht wirklich gut zu kennen und auch ansonsten keine Auslandsreisen unternommen zu haben (SEM act. 2/S. 4). Die Gesuchstellerin gibt sodann an, sie sei Mitbesitzerin eines Kiosks und verdiene durch die teilzeitliche Beschäftigung dort bis zu THB 1'500 pro Tag. Ausserdem arbeite sie auf einer Reisfarm (SEM act. 2/S. 29). Zureichende Belege für eine solche berufliche Tätigkeit lassen sich jedoch den Akten nicht entnehmen. Die eingereichten Fotos lassen keine entsprechenden Rückschlüsse zu (vgl. SEM act. 2/S. 18-25), und Lohnausweise oder andere Unterlagen fehlen. Sodann entsprechen die Angaben zu ihrem Einkommen nicht den eingereichten Bankbelegen. Wie von der Vorinstanz aufgezeigt, sind insbesondere die Einzahlungen hoher Beträge (THB 118'000 vom 14. Dezember 2017 sowie THB 166'731 vom 19. Februar 2018) seit Anfang Dezember nicht nachvollziehbar und lassen keine diesbezüglichen Rückschlüsse zu (vgl. SEM act. 2/S. 13 und 15). Aufgrund der Kontobewegungen ist sodann nicht auszuschliessen, dass namentlich die genannten Beiträge gerade im Hinblick auf die Erlangung des Schengen-Visums auf die Gesuchstellerin übertragen wurden. Entsprechend vermögen auch diese Vermögenswerte keine wirtschaftlichen Verhältnisse zu begründen, die die Gesuchstellerin nachhaltig von einer Emigration abhalten würden (vgl. hierzu BVGE 2014/1 E. 6.3.6; Urteil des BVGer F-7545/2016 vom 15. März 2017 E. 6.2).</w:t>
      </w:r>
    </w:p>
    <w:p>
      <w:r>
        <w:rPr>
          <w:b/>
        </w:rPr>
        <w:t>E. 5.3.3</w:t>
      </w:r>
    </w:p>
    <w:p>
      <w:r>
        <w:t>Abgesehen von der zu relativierenden familiären Einbindung ist somit vorliegend nicht davon auszugehen, aufgrund der persönlichen Situation der Eingeladenen seien weitere Verpflichtungen oder gar Abhängigkeiten vorhanden, die besondere Gewähr für eine Rückkehr ins Heimatland bieten könnten.</w:t>
      </w:r>
    </w:p>
    <w:p>
      <w:r>
        <w:rPr>
          <w:b/>
        </w:rPr>
        <w:t>E. 5.4</w:t>
      </w:r>
    </w:p>
    <w:p>
      <w:r>
        <w:t>An diesem Ergebnis vermag auch die Tatsache, dass der Beschwerdeführer die rechtzeitige Rückkehr der Gesuchstellerin zusichert, nichts zu ändern. In seiner Eigenschaft als Gastgeber kann dieser zwar für gewisse finanzielle Risiken im Zusammenhang mit dem Besuchsaufenthalt Garantie leisten, nicht aber - mangels rechtlicher und faktischer Durchsetzbarkeit - für ein bestimmtes Verhalten seines Gastes (vgl. BVGE 2009/27 E. 9 m.H. und Urteil des BVGer F-4355/2017 vom 13. Juni 2018 2018 E. 4.4).</w:t>
      </w:r>
    </w:p>
    <w:p>
      <w:r>
        <w:rPr>
          <w:b/>
        </w:rPr>
        <w:t>E. 5.5</w:t>
      </w:r>
    </w:p>
    <w:p>
      <w:r>
        <w:t>Nach dem Gesagten ist die Schlussfolgerung der Vorinstanz, die Wiederausreise der Gesuchstellerin könne angesichts der allgemeinen Lage Thailands und ihrer individuellen Situation nicht als gesichert angesehen werden, nicht zu beanstanden. Es fehlt damit an einer unabdingbaren Voraussetzung für die Erteilung eines einheitlichen Visums für den gesamten Schengen-Raum. Die Frage des Aufenthaltszwecks braucht daher nicht weiter vertieft zu werden. Gründe für die Ausstellung eines Visums mit räumlich beschränkter Gültigkeit sind schliesslich keine gegeben (vgl. vorn E. 4.5).</w:t>
      </w:r>
    </w:p>
    <w:p>
      <w:r>
        <w:rPr>
          <w:b/>
        </w:rPr>
        <w:t>E. 6</w:t>
      </w:r>
    </w:p>
    <w:p>
      <w:r>
        <w:t>Gestützt auf die obigen Erwägungen ist die angefochtene Verfügung im Licht von Art. 49 VwVG nicht zu beanstanden. Die Beschwerde ist daher abzuweisen.</w:t>
      </w:r>
    </w:p>
    <w:p>
      <w:r>
        <w:rPr>
          <w:b/>
        </w:rPr>
        <w:t>E. 7</w:t>
      </w:r>
    </w:p>
    <w:p>
      <w:r>
        <w:t>Bei diesem Ausgang des Verfahrens sind die Kosten dem Beschwerdeführer aufzuerlegen (vgl. Art. 63 Abs. 1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