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F-2944/2018 vom 19. Dezember 2018</w:t>
      </w:r>
    </w:p>
    <w:p>
      <w:r>
        <w:t>Bundesverwaltungsgericht, 2018-12-19, FR</w:t>
      </w:r>
    </w:p>
    <w:p>
      <w:r>
        <w:rPr>
          <w:b/>
        </w:rPr>
        <w:t xml:space="preserve">Quelle: </w:t>
      </w:r>
      <w:r>
        <w:t>https://mcp.opencaselaw.ch/entscheid/bvger_F-2944_2018</w:t>
      </w:r>
    </w:p>
    <w:p>
      <w:r>
        <w:t>FR: TAF F-2944/2018 du 19 décembre 2018</w:t>
      </w:r>
    </w:p>
    <w:p>
      <w:r>
        <w:t>IT: TAF F-2944/2018 del 19 dicembre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3.2</w:t>
      </w:r>
    </w:p>
    <w:p>
      <w:r>
        <w:t>En l'occurrence, la décision querellée a certes été rendue après l'entrée en vigueur du nouveau droit, soit le 18 avril 2018. Cependant, la procédure relative à l'annulation de la naturalisation facilitée accordée au recourant a été initiée respectivement le 7 septembre et le 12 octobre 2017, lorsque l'autorité cantonale a dénoncé le cas de l'intéressé au SEM et que l'autorité de première instance a informé A._______ de l'ouverture d'une procédure tendant à l'annulation de sa naturalisation (dans le même sens, cf. l'arrêt du TAF F-612/2016 du 1er février 2018 consid. 4).</w:t>
      </w:r>
    </w:p>
    <w:p>
      <w:r>
        <w:rPr>
          <w:b/>
        </w:rPr>
        <w:t>E. 3.3</w:t>
      </w:r>
    </w:p>
    <w:p>
      <w:r>
        <w:t>Par ailleurs, les faits pertinents pour l'annulation de la naturalisation facilitée du prénommé, soit notamment la signature de la déclaration de vie commune, l'octroi de la naturalisation et la séparation des conjoints, se sont déroulés avant l'entrée en vigueur de la nouvelle loi. Dans ces conditions, c'est l'ancien droit qui trouve application (cf. à ce sujet notamment l'arrêt du TF 1C_82/2018 du 31 mai 2018 consid. 2), soit la loi fédérale sur l'acquisition et la perte de la nationalité suisse du 29 septembre 1952 (ci-après : aLN), entrée en vigueur le 1er janvier 1953 (RO 1952 1115).</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w:t>
      </w:r>
    </w:p>
    <w:p>
      <w:r>
        <w:rPr>
          <w:b/>
        </w:rPr>
        <w:t>E. 4.3</w:t>
      </w:r>
    </w:p>
    <w:p>
      <w:r>
        <w:t>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référence citée).</w:t>
      </w:r>
    </w:p>
    <w:p>
      <w:r>
        <w:rPr>
          <w:b/>
        </w:rPr>
        <w:t>E. 4.4</w:t>
      </w:r>
    </w:p>
    <w:p>
      <w:r>
        <w:t>La séparation des époux ou l'introduction d'une procédure de divorce peu après la naturalisation facilitée constitue un indice permettant de présumer l'absence d'une telle volonté lors de l'octroi de la citoyenneté helvétique (cf. ATF 135 II 161 consid. 2, ATAF 2010/16 consid. 4.4 et les arrêts du TF 1C_588/2017 du 30 novembre 2017 consid. 5.1 et 1C_362/2017 du 12 octobre 2017 consid. 2.2.1 et les références citées).</w:t>
      </w:r>
    </w:p>
    <w:p>
      <w:r>
        <w:rPr>
          <w:b/>
        </w:rPr>
        <w:t>E. 4.5</w:t>
      </w:r>
    </w:p>
    <w:p>
      <w:r>
        <w:t>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les références citées).</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w:t>
      </w:r>
    </w:p>
    <w:p>
      <w:r>
        <w:rPr>
          <w:b/>
        </w:rPr>
        <w:t>E. 5.2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aLN, violant ainsi le devoir d'information auquel il est appelé à se conformer en vertu de cette disposition (cf. ATF 140 II 65 consid. 2.2 et ATF 135 II 161 consid. 2). Tel est notamment le cas si le requérant déclare vivre en communauté stable avec son conjoint, alors qu'il envisage de se séparer une fois obtenue la naturalisation facilitée ; peu importe que son mariage se soit ou non déroulé jusqu'ici de manière harmonieuse (cf. l'arrêt du TF 1C_82/2018 consid. 4.1 et la jurisprudence citée).</w:t>
      </w:r>
    </w:p>
    <w:p>
      <w:r>
        <w:rPr>
          <w:b/>
        </w:rPr>
        <w:t>E. 5.3</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ainsi que les arrêts du TF 1C_588/2017 consid. 5.1 et 1C_362/2017 consid. 2.2.1 et les références citées).</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w:t>
      </w:r>
    </w:p>
    <w:p>
      <w:r>
        <w:rPr>
          <w:b/>
        </w:rPr>
        <w:t>E. 5.5</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les arrêts du TF 1C_588/2017 consid. 5.2 in fine et 1C_377/2017 du 12 octobre 2017 consid. 2.1.2 et la jurisprudence citée).</w:t>
      </w:r>
    </w:p>
    <w:p>
      <w:r>
        <w:rPr>
          <w:b/>
        </w:rPr>
        <w:t>E. 5.6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les arrêts du TF 1C_441/2014 du 15 décembre 2014 consid. 2.4 et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5.7</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1C_82/2018 consid. 4.2 in fine et 1C_362/2017 consid. 2.2.2 et la jurisprudence citée).</w:t>
      </w:r>
    </w:p>
    <w:p>
      <w:r>
        <w:rPr>
          <w:b/>
        </w:rPr>
        <w:t>E. 6</w:t>
      </w:r>
    </w:p>
    <w:p>
      <w:r>
        <w:t>A titre préliminaire, le Tribunal constate que les conditions formelles de l'annulation de la naturalisation facilitée prévues par l'art. 41 aLN, dans sa teneur en vigueur depuis le 1er mars 2011, sont réalisées dans le cas particulier. La naturalisation facilitée accordée au recourant le 29 septembre 2010 a été annulée par l'autorité inférieure en date du 18 avril 2018, soit avant l'échéance du délai péremptoire prévu par la disposition précitée, avec l'assentiment de l'autorité cantonale compétente. Selon la jurisprudence, il convient en effet d'appliquer, aux naturalisations pour lesquelles l'ancien délai péremptoire de cinq ans n'était pas encore écoulé au moment de l'entrée en vigueur du nouveau droit, l'art. 41 aLN dans sa nouvelle teneur et de tenir compte du temps écoulé sous l'ancien droit dans le calcul du délai absolu de huit ans (cf. notamment l'arrêt du TF 1C_540/2014 du 5 janvier 2015 consid. 3.1). En outre, le délai relatif de deux ans à compter du jour où l'autorité intimée a pris connaissance des faits déterminants est également respecté, puisque le SEM a été informé du divorce des conjoints par communication du 7 septembre 2017.</w:t>
      </w:r>
    </w:p>
    <w:p>
      <w:r>
        <w:rPr>
          <w:b/>
        </w:rPr>
        <w:t>E. 7</w:t>
      </w:r>
    </w:p>
    <w:p>
      <w:r>
        <w:t>A ce stade, il convient dès lors d'examiner si l'enchaînement chronologique rapide des faits entre la signature de la déclaration de vie commune, l'octroi de la naturalisation facilitée et la séparation des conjoints permet de fonder la présomption selon laquelle la communauté conjugale des intéressés n'était plus stable et orientée vers l'avenir au moment de la naturalisation facilitée de A._______.</w:t>
      </w:r>
    </w:p>
    <w:p>
      <w:r>
        <w:rPr>
          <w:b/>
        </w:rPr>
        <w:t>E. 7.1</w:t>
      </w:r>
    </w:p>
    <w:p>
      <w:r>
        <w:t>A ce propos, le Tribunal constate que les époux ont signé la déclaration de vie commune en date du 21 août 2010 et que par décision du 29 septembre 2010, le SEM a mis A._______ au bénéfice de la naturalisation facilitée. En novembre 2010, les conjoints ont cessé de faire ménage commun et par jugement du 7 octobre 2013, le Président du Tribunal de l'arrondissement de la Sarine a prononcé leur divorce. Le Tribunal considère que ces éléments, et en particulier le court laps de temps séparant la déclaration de vie commune (le 21 août 2010), l'octroi de la naturalisation facilitée (le 29 septembre 2010) et la séparation de fait des époux (le 1er novembre 2010) sont de nature à fonder la présomption de fait selon laquelle, au moment de la décision de naturalisation, la communauté conjugale des époux n'était plus stable et orientée vers l'avenir au sens de l'art. 27 aLN et de la jurisprudence y relative.</w:t>
      </w:r>
    </w:p>
    <w:p>
      <w:r>
        <w:rPr>
          <w:b/>
        </w:rPr>
        <w:t>E. 7.2</w:t>
      </w:r>
    </w:p>
    <w:p>
      <w:r>
        <w:t>Dans son mémoire de recours, A._______ a argué qu'on ne saurait retenir que la séparation des époux était intervenue au moment de la création de domiciles séparés en novembre 2010, puisque par cette mesure, les conjoints entendaient donner une seconde chance à leur relation. L'intéressé a ajouté que les époux continuaient à se voir régulièrement après leur déménagement et que la séparation définitive n'était survenue qu'une année plus tard. Certes, il est exceptionnellement admis que la communauté conjugale subsiste au sens des art. 27 et 28 aLN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(cf. notamment ATF 121 II 49 consid. 2b) et l'arrêt du TAF F-1999/2017 du 30 mai 2018 consid. 3.7 et les références citées, voir également SAMAH OUSMANE, in : Amarelle et al., Code annoté de droit des migrations, Vol. V : Loi sur la nationalité, 2014, n° 19s ad. art. 27 aLN p. 108). Dans le cas particulier, force est cependant de constater que la création de domiciles séparés était du moins partiellement due aux importants différends conjugaux rencontrés par les époux (cf. le mémoire de recours pt. 24 p. 6 et le procès-verbal de l'audition de B._______ du 15 février 2018 pt. 2.3 p. 3) et que la stabilité du mariage était mise en cause, si bien qu'on ne saurait admettre que la communauté conjugale au sens des art. 27 et 28 aLN ait subsisté après la fin du ménage commun.</w:t>
      </w:r>
    </w:p>
    <w:p>
      <w:r>
        <w:rPr>
          <w:b/>
        </w:rPr>
        <w:t>E. 7.3</w:t>
      </w:r>
    </w:p>
    <w:p>
      <w:r>
        <w:t>A toutes fins utiles, il sied encore de noter que la présomption relative à l'acquisition frauduleuse de la naturalisation serait donnée même si on suivait l'argumentation du recourant selon laquelle la séparation déterminante n'est survenue qu'en novembre 2011. A ce sujet, il y a lieu de rappeler que la jurisprudence admet l'existence d'un enchaînement rapide si moins de deux ans séparent la déclaration de vie commune (respectivement l'octroi de la naturalisation facilitée) et la séparation des époux (cf. le consid. 5.5 supra et jurisprudence citée). Or, en l'occurrence, même dans l'hypothèse la plus favorable au recourant, seulement treize mois se sont écoulés entre l'octroi de la naturalisation facilitée à l'intéressé par décision du 29 septembre 2010 et la date de la séparation définitive alléguée par le recourant, soit le 1er novembre 2011.</w:t>
      </w:r>
    </w:p>
    <w:p>
      <w:r>
        <w:rPr>
          <w:b/>
        </w:rPr>
        <w:t>E. 7.4</w:t>
      </w:r>
    </w:p>
    <w:p>
      <w:r>
        <w:t>Au regard des considérants qui précèdent, il convient de retenir que l'enchaînement chronologique rapide des faits entre la signature de la déclaration de vie commune, l'octroi de la naturalisation facilitée et la séparation des conjoints permet de fonder la présomption selon laquelle la communauté conjugale des intéressés ne présentait plus la stabilité et l'intensité requises lorsque A._______ a obtenu la citoyenneté helvétique.</w:t>
      </w:r>
    </w:p>
    <w:p>
      <w:r>
        <w:rPr>
          <w:b/>
        </w:rPr>
        <w:t>E. 8</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5.7 ci-avant et la jurisprudence citée).</w:t>
      </w:r>
    </w:p>
    <w:p>
      <w:r>
        <w:rPr>
          <w:b/>
        </w:rPr>
        <w:t>E. 8.1</w:t>
      </w:r>
    </w:p>
    <w:p>
      <w:r>
        <w:t>Dans son mémoire de recours du 18 mai 2018, l'intéressé n'a pas fait valoir la survenance d'un événement extraordinaire susceptible d'expliquer la dégradation rapide de sa communauté conjugale. A._______ a au contraire exposé que la séparation définitive des époux avait eu lieu à la fin de l'année 2011 suite à un long processus durant lequel les conjoints avaient entrepris de sérieux efforts pour sauver leur union.</w:t>
      </w:r>
    </w:p>
    <w:p>
      <w:r>
        <w:rPr>
          <w:b/>
        </w:rPr>
        <w:t>E. 8.2</w:t>
      </w:r>
    </w:p>
    <w:p>
      <w:r>
        <w:t>Au vu des pièces figurant au dossier, il appert effectivement que la séparation des époux n'était pas due à la survenance d'un événement extraordinaire, mais constituait la conséquence d'un long processus de désunion causé par diverses difficultés rencontrées par les intéressés (en ce sens, cf. notamment le procès-verbal de l'audition de B._______ du 15 février 2018 pt. 2.1 p. 2s).</w:t>
      </w:r>
    </w:p>
    <w:p>
      <w:r>
        <w:rPr>
          <w:b/>
        </w:rPr>
        <w:t>E. 8.3</w:t>
      </w:r>
    </w:p>
    <w:p>
      <w:r>
        <w:t>Force est par ailleurs de constater que le processus de désunion a commencé bien avant la fin de la procédure de naturalisation. Dans ce contexte, il importe de rappeler que le recourant a entretenu, au printemps 2010, une relation extraconjugale ayant conduit à la naissance d'un enfant adultérin le 12 janvier 2011. Or, indépendamment de la question de savoir si cet enfant était le fruit d'une relation intime isolée, le fait que le recourant ait entretenu une relation extraconjugale au printemps 2010, et qu'il ait décidé de cacher cet événement à son épouse, constitue un élément important indiquant que la stabilité du mariage était déjà sérieusement mise en cause avant la déclaration de vie commune et la décision de naturalisation.</w:t>
      </w:r>
    </w:p>
    <w:p>
      <w:r>
        <w:rPr>
          <w:b/>
        </w:rPr>
        <w:t>E. 8.4</w:t>
      </w:r>
    </w:p>
    <w:p>
      <w:r>
        <w:t>En outre, dans le cadre de la procédure relative à la dissolution de leur union conjugale, les époux ont explicitement affirmé qu'ils rencontraient des difficultés conjugales depuis août 2010 (cf. la demande de divorce du 19 août 2013 pt. 7 p. 3). En novembre 2010, les conflits opposant les époux étaient par ailleurs déjà à ce point importants que les intéressés ont décidé de prendre des domiciles séparés, notamment pour déterminer si le maintien de leur union était possible (cf. le procès-verbal de l'audition de B._______ du 15 février 2018 pt. 2.3 p. 3).</w:t>
      </w:r>
    </w:p>
    <w:p>
      <w:r>
        <w:rPr>
          <w:b/>
        </w:rPr>
        <w:t>E. 8.5</w:t>
      </w:r>
    </w:p>
    <w:p>
      <w:r>
        <w:t>Par conséquent, il y a lieu de retenir que la fin de la communauté conjugale formée par les époux est intervenue suite à un lent processus de désunion qui a débuté bien avant la signature de la déclaration de vie commune et la décision de naturalisation et que le recourant n'a fait valoir aucun événement extraordinaire survenu après l'octroi de la naturalisation susceptible de renverser la présomption d'acquisition frauduleuse de sa naturalisation.</w:t>
      </w:r>
    </w:p>
    <w:p>
      <w:r>
        <w:rPr>
          <w:b/>
        </w:rPr>
        <w:t>E. 8.6</w:t>
      </w:r>
    </w:p>
    <w:p>
      <w:r>
        <w:t>Par ailleurs, le recourant n'a pas non plus rendu vraisemblable qu'il ignorait la gravité de ses difficultés conjugales lorsqu'il a fait la déclaration concernant la stabilité de sa communauté conjugale, respectivement acquis la naturalisation facilitée. Le fait qu'au moment de sa naturalisation, les ex-conjoints avaient toujours l'intention de maintenir leur communauté, se voyaient régulièrement et consultaient un spécialiste afin de résoudre leurs différends ne saurait changer l'appréciation du Tribunal selon laquelle au moment de la signature de la déclaration de vie commune le 21 août 2010 et de la décision de naturalisation facilitée prononcée le 29 septembre 2010, le recourant devait être conscient du fait que les difficultés conjugales rencontrées par les époux étaient d'une importance de nature à mettre la stabilité du mariage en cause. A ce sujet, le Tribunal rappelle notamment que l'intéressé a entretenu une relation extraconjugale au printemps 2010 et qu'il a par ailleurs explicitement reconnu à plusieurs reprises que les époux étaient confrontés à des problèmes de couple dès août 2010 (cf. notamment le mémoire de recours pt. 20 p. 6). Ainsi, en signant sans réserve la déclaration de vie commune le 21 août 2010, alors que le couple était confronté à d'importantes difficultés à cette période et en omettant de renseigner l'autorité compétente sur la péjoration de la situation matrimoniale avant l'obtention de sa naturalisation, le recourant a dissimulé des faits essentiels, voire fait des déclarations mensongères dans le cadre de la procédure relative à l'obtention de sa naturalisation.</w:t>
      </w:r>
    </w:p>
    <w:p>
      <w:r>
        <w:rPr>
          <w:b/>
        </w:rPr>
        <w:t>E. 8.7</w:t>
      </w:r>
    </w:p>
    <w:p>
      <w:r>
        <w:t>Dans ces conditions, à défaut d'éléments convaincants apportés par le recourant, le Tribunal est d'avis qu'il y a lieu de s'en tenir à la présomption de fait, fondée sur l'enchaînement chronologique rapide des événements, selon laquelle l'union formée par les époux ne présentait plus l'intensité et la stabilité requises au moment de la décision de naturalisation facilitée.</w:t>
      </w:r>
    </w:p>
    <w:p>
      <w:r>
        <w:rPr>
          <w:b/>
        </w:rPr>
        <w:t>E. 9</w:t>
      </w:r>
    </w:p>
    <w:p>
      <w:r>
        <w:t>L'art. 41 al. 1 aLN stipule certes qu'avec l'assentiment de l'autorité du canton d'origine, l'office "peut" annuler la naturalisation obtenue par des déclarations mensongères ou une dissimulation de faits essentiels et laisse ainsi une marge d'appréciation à l'autorité compétente.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TAF F-2751/2017 du 6 novembre 2017 consid. 10.1 et la référence citée). Or, les arguments avancés par le recourant pour contester la décision de l'instance inférieure du 18 avril 2018 ne sont pas susceptibles de justifier une telle exception.</w:t>
      </w:r>
    </w:p>
    <w:p>
      <w:r>
        <w:rPr>
          <w:b/>
        </w:rPr>
        <w:t>E. 10</w:t>
      </w:r>
    </w:p>
    <w:p>
      <w:r>
        <w:t>En vertu de l'art. 41 al. 3 aLN, sauf décision expresse, l'annulation fait également perdre la nationalité suisse aux membres de la famille qui l'ont acquise en vertu de la décision annulée. En l'espèce, les deux enfants issus de la relation du recourant avec E._______ ne sont pas concernés par la décision querellée et il ne ressort pas du dossier que le recourant aurait eu un autre enfant depuis l'obtention de sa naturalisation facilitée. Par ailleurs, l'intéressé n'a fait valoir aucun grief spécifique s'agissant de ce point du dispositif.</w:t>
      </w:r>
    </w:p>
    <w:p>
      <w:r>
        <w:rPr>
          <w:b/>
        </w:rPr>
        <w:t>E. 11</w:t>
      </w:r>
    </w:p>
    <w:p>
      <w:r>
        <w:t>Enfin, le Tribunal estime que l'état de fait pertinent est suffisamment établi par les pièces du dossier, de sorte qu'il peut se dispenser de procéder aux mesures d'instruction requises par le recourant dans son mémoire de recours du 18 mai 2018.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in fine, ATF 136 I 229 consid. 5.3 et ATF 130 II 425 consid. 2.1 et les références citées).</w:t>
      </w:r>
    </w:p>
    <w:p>
      <w:r>
        <w:rPr>
          <w:b/>
        </w:rPr>
        <w:t>E. 12</w:t>
      </w:r>
    </w:p>
    <w:p>
      <w:r>
        <w:t>Il ressort de ce qui précède que, par sa décision du 18 avril 2018,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d'un montant de Fr. 1'200.-,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